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F8" w:rsidRDefault="00996CDB" w:rsidP="00996CDB">
      <w:pPr>
        <w:jc w:val="center"/>
        <w:rPr>
          <w:lang w:val="bg-BG"/>
        </w:rPr>
      </w:pPr>
      <w:r w:rsidRPr="00996CDB">
        <w:rPr>
          <w:rFonts w:ascii="Verdana" w:hAnsi="Verdana"/>
          <w:noProof/>
          <w:sz w:val="20"/>
          <w:szCs w:val="20"/>
        </w:rPr>
        <w:drawing>
          <wp:inline distT="0" distB="0" distL="0" distR="0" wp14:anchorId="7183C6EB" wp14:editId="67731D67">
            <wp:extent cx="819150" cy="476250"/>
            <wp:effectExtent l="0" t="0" r="0" b="0"/>
            <wp:docPr id="41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918" cy="47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F6170" w:rsidRPr="00FF6170" w:rsidRDefault="00FF6170" w:rsidP="00FF6170">
      <w:pPr>
        <w:pStyle w:val="NormalWeb"/>
        <w:spacing w:before="288" w:beforeAutospacing="0" w:after="0" w:afterAutospacing="0"/>
        <w:jc w:val="center"/>
        <w:textAlignment w:val="baseline"/>
        <w:rPr>
          <w:rFonts w:ascii="Verdana" w:hAnsi="Verdana"/>
          <w:sz w:val="20"/>
          <w:szCs w:val="20"/>
        </w:rPr>
      </w:pPr>
      <w:r w:rsidRPr="00FF6170">
        <w:rPr>
          <w:rFonts w:ascii="Verdana" w:eastAsiaTheme="minorEastAsia" w:hAnsi="Verdana"/>
          <w:b/>
          <w:bCs/>
          <w:color w:val="000000"/>
          <w:kern w:val="24"/>
          <w:sz w:val="20"/>
          <w:szCs w:val="20"/>
          <w:lang w:val="bg-BG"/>
        </w:rPr>
        <w:t>ФОНД</w:t>
      </w:r>
      <w:r w:rsidRPr="00FF6170">
        <w:rPr>
          <w:rFonts w:ascii="Verdana" w:eastAsiaTheme="minorEastAsia" w:hAnsi="Verdana"/>
          <w:b/>
          <w:bCs/>
          <w:color w:val="000000"/>
          <w:kern w:val="24"/>
          <w:sz w:val="20"/>
          <w:szCs w:val="20"/>
        </w:rPr>
        <w:t xml:space="preserve"> </w:t>
      </w:r>
      <w:r w:rsidRPr="00FF6170">
        <w:rPr>
          <w:rFonts w:ascii="Verdana" w:eastAsiaTheme="minorEastAsia" w:hAnsi="Verdana"/>
          <w:b/>
          <w:bCs/>
          <w:color w:val="000000"/>
          <w:kern w:val="24"/>
          <w:sz w:val="20"/>
          <w:szCs w:val="20"/>
          <w:lang w:val="bg-BG"/>
        </w:rPr>
        <w:t xml:space="preserve"> ЗА ЕВРОПЕЙСКО ПОДПОМАГАНЕ НА НАЙ-НУЖДАЕЩИТЕ СЕ ЛИЦА</w:t>
      </w:r>
    </w:p>
    <w:p w:rsidR="00FF6170" w:rsidRPr="00FF6170" w:rsidRDefault="00FF6170" w:rsidP="00FF6170">
      <w:pPr>
        <w:pStyle w:val="NormalWeb"/>
        <w:spacing w:before="0" w:beforeAutospacing="0" w:after="0" w:afterAutospacing="0"/>
        <w:jc w:val="center"/>
        <w:textAlignment w:val="baseline"/>
        <w:rPr>
          <w:rFonts w:ascii="Verdana" w:hAnsi="Verdana"/>
          <w:sz w:val="20"/>
          <w:szCs w:val="20"/>
        </w:rPr>
      </w:pPr>
      <w:r w:rsidRPr="00FF6170">
        <w:rPr>
          <w:rFonts w:ascii="Verdana" w:eastAsiaTheme="minorEastAsia" w:hAnsi="Verdana" w:cstheme="minorBidi"/>
          <w:b/>
          <w:bCs/>
          <w:color w:val="000000"/>
          <w:kern w:val="24"/>
          <w:sz w:val="20"/>
          <w:szCs w:val="20"/>
          <w:lang w:val="bg-BG"/>
        </w:rPr>
        <w:t xml:space="preserve">Оперативна  програма за храни </w:t>
      </w:r>
      <w:r w:rsidRPr="00FF6170">
        <w:rPr>
          <w:rFonts w:ascii="Verdana" w:eastAsiaTheme="minorEastAsia" w:hAnsi="Verdana" w:cstheme="minorBidi"/>
          <w:b/>
          <w:bCs/>
          <w:color w:val="000000"/>
          <w:kern w:val="24"/>
          <w:sz w:val="20"/>
          <w:szCs w:val="20"/>
        </w:rPr>
        <w:t xml:space="preserve"> </w:t>
      </w:r>
      <w:r w:rsidRPr="00FF6170">
        <w:rPr>
          <w:rFonts w:ascii="Verdana" w:eastAsiaTheme="minorEastAsia" w:hAnsi="Verdana" w:cstheme="minorBidi"/>
          <w:b/>
          <w:bCs/>
          <w:color w:val="000000"/>
          <w:kern w:val="24"/>
          <w:sz w:val="20"/>
          <w:szCs w:val="20"/>
          <w:lang w:val="bg-BG"/>
        </w:rPr>
        <w:t>и/или основно материално подпомагане</w:t>
      </w:r>
    </w:p>
    <w:p w:rsidR="008B34A9" w:rsidRDefault="008B34A9" w:rsidP="00BF0BC4">
      <w:pPr>
        <w:pStyle w:val="NormalWeb"/>
        <w:spacing w:before="0" w:beforeAutospacing="0" w:after="0" w:afterAutospacing="0"/>
        <w:jc w:val="center"/>
        <w:textAlignment w:val="baseline"/>
        <w:rPr>
          <w:rFonts w:ascii="Verdana" w:eastAsiaTheme="minorEastAsia" w:hAnsi="Verdana" w:cstheme="minorBidi"/>
          <w:b/>
          <w:bCs/>
          <w:kern w:val="24"/>
          <w:sz w:val="22"/>
          <w:szCs w:val="22"/>
          <w:lang w:val="bg-BG"/>
        </w:rPr>
      </w:pPr>
    </w:p>
    <w:p w:rsidR="008B34A9" w:rsidRPr="008B34A9" w:rsidRDefault="00BF0BC4" w:rsidP="00BF0BC4">
      <w:pPr>
        <w:pStyle w:val="NormalWeb"/>
        <w:spacing w:before="0" w:beforeAutospacing="0" w:after="0" w:afterAutospacing="0"/>
        <w:jc w:val="center"/>
        <w:textAlignment w:val="baseline"/>
        <w:rPr>
          <w:rFonts w:ascii="Verdana" w:eastAsiaTheme="minorEastAsia" w:hAnsi="Verdana" w:cstheme="minorBidi"/>
          <w:b/>
          <w:bCs/>
          <w:i/>
          <w:kern w:val="24"/>
          <w:sz w:val="22"/>
          <w:szCs w:val="22"/>
          <w:u w:val="single"/>
          <w:lang w:val="bg-BG"/>
        </w:rPr>
      </w:pPr>
      <w:r w:rsidRPr="008B34A9">
        <w:rPr>
          <w:rFonts w:ascii="Verdana" w:eastAsiaTheme="minorEastAsia" w:hAnsi="Verdana" w:cstheme="minorBidi"/>
          <w:b/>
          <w:bCs/>
          <w:i/>
          <w:kern w:val="24"/>
          <w:sz w:val="22"/>
          <w:szCs w:val="22"/>
          <w:u w:val="single"/>
          <w:lang w:val="bg-BG"/>
        </w:rPr>
        <w:t xml:space="preserve">ПРЕДОСТАВЯНЕ НА СЪПЪТСТВАЩИ МЕРКИ – </w:t>
      </w:r>
    </w:p>
    <w:p w:rsidR="00BF0BC4" w:rsidRDefault="00BF0BC4" w:rsidP="00BF0BC4">
      <w:pPr>
        <w:pStyle w:val="NormalWeb"/>
        <w:spacing w:before="0" w:beforeAutospacing="0" w:after="0" w:afterAutospacing="0"/>
        <w:jc w:val="center"/>
        <w:textAlignment w:val="baseline"/>
        <w:rPr>
          <w:rFonts w:ascii="Verdana" w:eastAsiaTheme="minorEastAsia" w:hAnsi="Verdana" w:cstheme="minorBidi"/>
          <w:b/>
          <w:bCs/>
          <w:i/>
          <w:kern w:val="24"/>
          <w:sz w:val="22"/>
          <w:szCs w:val="22"/>
          <w:u w:val="single"/>
          <w:lang w:val="bg-BG"/>
        </w:rPr>
      </w:pPr>
      <w:r w:rsidRPr="008B34A9">
        <w:rPr>
          <w:rFonts w:ascii="Verdana" w:eastAsiaTheme="minorEastAsia" w:hAnsi="Verdana" w:cstheme="minorBidi"/>
          <w:b/>
          <w:bCs/>
          <w:i/>
          <w:kern w:val="24"/>
          <w:sz w:val="22"/>
          <w:szCs w:val="22"/>
          <w:u w:val="single"/>
          <w:lang w:val="bg-BG"/>
        </w:rPr>
        <w:t>ПРИНЦИПИ,  ВИДОВЕ, ОТЧИТАНЕ</w:t>
      </w:r>
      <w:r w:rsidR="008B34A9" w:rsidRPr="008B34A9">
        <w:rPr>
          <w:rFonts w:ascii="Verdana" w:eastAsiaTheme="minorEastAsia" w:hAnsi="Verdana" w:cstheme="minorBidi"/>
          <w:b/>
          <w:bCs/>
          <w:i/>
          <w:kern w:val="24"/>
          <w:sz w:val="22"/>
          <w:szCs w:val="22"/>
          <w:u w:val="single"/>
          <w:lang w:val="bg-BG"/>
        </w:rPr>
        <w:t>, Д</w:t>
      </w:r>
      <w:r w:rsidRPr="008B34A9">
        <w:rPr>
          <w:rFonts w:ascii="Verdana" w:eastAsiaTheme="minorEastAsia" w:hAnsi="Verdana" w:cstheme="minorBidi"/>
          <w:b/>
          <w:bCs/>
          <w:i/>
          <w:kern w:val="24"/>
          <w:sz w:val="22"/>
          <w:szCs w:val="22"/>
          <w:u w:val="single"/>
          <w:lang w:val="bg-BG"/>
        </w:rPr>
        <w:t>ОБРИ ПРАКТИКИ</w:t>
      </w:r>
    </w:p>
    <w:p w:rsidR="00455A27" w:rsidRPr="008B34A9" w:rsidRDefault="00455A27" w:rsidP="00BF0BC4">
      <w:pPr>
        <w:pStyle w:val="NormalWeb"/>
        <w:spacing w:before="0" w:beforeAutospacing="0" w:after="0" w:afterAutospacing="0"/>
        <w:jc w:val="center"/>
        <w:textAlignment w:val="baseline"/>
        <w:rPr>
          <w:rFonts w:ascii="Verdana" w:hAnsi="Verdana"/>
          <w:b/>
          <w:i/>
          <w:sz w:val="22"/>
          <w:szCs w:val="22"/>
          <w:u w:val="single"/>
        </w:rPr>
      </w:pPr>
    </w:p>
    <w:p w:rsidR="00EF05C5" w:rsidRDefault="00EF05C5" w:rsidP="005A6A57">
      <w:pPr>
        <w:spacing w:after="0" w:line="360" w:lineRule="auto"/>
        <w:ind w:firstLine="720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036F5E" w:rsidRPr="00B308C1" w:rsidRDefault="00036F5E" w:rsidP="005A6A57">
      <w:pPr>
        <w:spacing w:after="0" w:line="360" w:lineRule="auto"/>
        <w:ind w:firstLine="720"/>
        <w:jc w:val="both"/>
        <w:rPr>
          <w:rFonts w:ascii="Verdana" w:hAnsi="Verdana" w:cs="Arial"/>
          <w:bCs/>
          <w:i/>
          <w:sz w:val="20"/>
          <w:szCs w:val="20"/>
          <w:lang w:val="bg-BG"/>
        </w:rPr>
      </w:pPr>
      <w:proofErr w:type="spellStart"/>
      <w:r w:rsidRPr="00B308C1">
        <w:rPr>
          <w:rFonts w:ascii="Verdana" w:hAnsi="Verdana"/>
          <w:i/>
          <w:sz w:val="20"/>
          <w:szCs w:val="20"/>
        </w:rPr>
        <w:t>По</w:t>
      </w:r>
      <w:proofErr w:type="spellEnd"/>
      <w:r w:rsidRPr="00B308C1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i/>
          <w:sz w:val="20"/>
          <w:szCs w:val="20"/>
        </w:rPr>
        <w:t>повод</w:t>
      </w:r>
      <w:proofErr w:type="spellEnd"/>
      <w:r w:rsidRPr="00B308C1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i/>
          <w:sz w:val="20"/>
          <w:szCs w:val="20"/>
        </w:rPr>
        <w:t>реализирането</w:t>
      </w:r>
      <w:proofErr w:type="spellEnd"/>
      <w:r w:rsidRPr="00B308C1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i/>
          <w:sz w:val="20"/>
          <w:szCs w:val="20"/>
        </w:rPr>
        <w:t>на</w:t>
      </w:r>
      <w:proofErr w:type="spellEnd"/>
      <w:r w:rsidRPr="00B308C1">
        <w:rPr>
          <w:rFonts w:ascii="Verdana" w:hAnsi="Verdana"/>
          <w:i/>
          <w:sz w:val="20"/>
          <w:szCs w:val="20"/>
        </w:rPr>
        <w:t xml:space="preserve"> </w:t>
      </w:r>
      <w:r w:rsidRPr="00B308C1">
        <w:rPr>
          <w:rFonts w:ascii="Verdana" w:hAnsi="Verdana"/>
          <w:i/>
          <w:sz w:val="20"/>
          <w:szCs w:val="20"/>
          <w:lang w:val="bg-BG"/>
        </w:rPr>
        <w:t xml:space="preserve">съпътстващи </w:t>
      </w:r>
      <w:proofErr w:type="spellStart"/>
      <w:r w:rsidRPr="00B308C1">
        <w:rPr>
          <w:rFonts w:ascii="Verdana" w:hAnsi="Verdana"/>
          <w:i/>
          <w:sz w:val="20"/>
          <w:szCs w:val="20"/>
        </w:rPr>
        <w:t>мерки</w:t>
      </w:r>
      <w:proofErr w:type="spellEnd"/>
      <w:r w:rsidRPr="00B308C1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i/>
          <w:sz w:val="20"/>
          <w:szCs w:val="20"/>
        </w:rPr>
        <w:t>по</w:t>
      </w:r>
      <w:proofErr w:type="spellEnd"/>
      <w:r w:rsidRPr="00B308C1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Оперативна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програма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за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храни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и/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или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основно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материално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подпомагане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от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Фонда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за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европейско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подпомагане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на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най-нуждаещите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се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лица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в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България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/ОПХ ФЕПНЛ/, и в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духа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на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конструктивния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диалог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и  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партньорските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отношения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на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Управляващият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орган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/УО/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на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ОПХ ФЕПНЛ с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общините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в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Република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България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,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представяме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на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вниманието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Ви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важни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акценти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,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касаещи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изпълнението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и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отчитането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/>
          <w:bCs/>
          <w:i/>
          <w:sz w:val="20"/>
          <w:szCs w:val="20"/>
        </w:rPr>
        <w:t>на</w:t>
      </w:r>
      <w:proofErr w:type="spellEnd"/>
      <w:r w:rsidRPr="00B308C1">
        <w:rPr>
          <w:rFonts w:ascii="Verdana" w:hAnsi="Verdana"/>
          <w:bCs/>
          <w:i/>
          <w:sz w:val="20"/>
          <w:szCs w:val="20"/>
        </w:rPr>
        <w:t xml:space="preserve"> </w:t>
      </w:r>
      <w:r w:rsidRPr="00B308C1">
        <w:rPr>
          <w:rFonts w:ascii="Verdana" w:hAnsi="Verdana" w:cs="Arial"/>
          <w:bCs/>
          <w:i/>
          <w:sz w:val="20"/>
          <w:szCs w:val="20"/>
          <w:lang w:val="bg-BG"/>
        </w:rPr>
        <w:t>съпътстващи мерки</w:t>
      </w:r>
      <w:r w:rsidRPr="00B308C1">
        <w:rPr>
          <w:rFonts w:ascii="Verdana" w:hAnsi="Verdana" w:cs="Arial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 w:cs="Arial"/>
          <w:bCs/>
          <w:i/>
          <w:sz w:val="20"/>
          <w:szCs w:val="20"/>
        </w:rPr>
        <w:t>по</w:t>
      </w:r>
      <w:proofErr w:type="spellEnd"/>
      <w:r w:rsidRPr="00B308C1">
        <w:rPr>
          <w:rFonts w:ascii="Verdana" w:hAnsi="Verdana" w:cs="Arial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 w:cs="Arial"/>
          <w:bCs/>
          <w:i/>
          <w:sz w:val="20"/>
          <w:szCs w:val="20"/>
        </w:rPr>
        <w:t>операция</w:t>
      </w:r>
      <w:proofErr w:type="spellEnd"/>
      <w:r w:rsidRPr="00B308C1">
        <w:rPr>
          <w:rFonts w:ascii="Verdana" w:hAnsi="Verdana" w:cs="Arial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 w:cs="Arial"/>
          <w:bCs/>
          <w:i/>
          <w:sz w:val="20"/>
          <w:szCs w:val="20"/>
        </w:rPr>
        <w:t>тип</w:t>
      </w:r>
      <w:proofErr w:type="spellEnd"/>
      <w:r w:rsidRPr="00B308C1">
        <w:rPr>
          <w:rFonts w:ascii="Verdana" w:hAnsi="Verdana" w:cs="Arial"/>
          <w:bCs/>
          <w:i/>
          <w:sz w:val="20"/>
          <w:szCs w:val="20"/>
        </w:rPr>
        <w:t xml:space="preserve"> 3 „</w:t>
      </w:r>
      <w:proofErr w:type="spellStart"/>
      <w:r w:rsidRPr="00B308C1">
        <w:rPr>
          <w:rFonts w:ascii="Verdana" w:hAnsi="Verdana" w:cs="Arial"/>
          <w:bCs/>
          <w:i/>
          <w:sz w:val="20"/>
          <w:szCs w:val="20"/>
        </w:rPr>
        <w:t>Осигуряване</w:t>
      </w:r>
      <w:proofErr w:type="spellEnd"/>
      <w:r w:rsidRPr="00B308C1">
        <w:rPr>
          <w:rFonts w:ascii="Verdana" w:hAnsi="Verdana" w:cs="Arial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 w:cs="Arial"/>
          <w:bCs/>
          <w:i/>
          <w:sz w:val="20"/>
          <w:szCs w:val="20"/>
        </w:rPr>
        <w:t>на</w:t>
      </w:r>
      <w:proofErr w:type="spellEnd"/>
      <w:r w:rsidRPr="00B308C1">
        <w:rPr>
          <w:rFonts w:ascii="Verdana" w:hAnsi="Verdana" w:cs="Arial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 w:cs="Arial"/>
          <w:bCs/>
          <w:i/>
          <w:sz w:val="20"/>
          <w:szCs w:val="20"/>
        </w:rPr>
        <w:t>топъл</w:t>
      </w:r>
      <w:proofErr w:type="spellEnd"/>
      <w:r w:rsidRPr="00B308C1">
        <w:rPr>
          <w:rFonts w:ascii="Verdana" w:hAnsi="Verdana" w:cs="Arial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 w:cs="Arial"/>
          <w:bCs/>
          <w:i/>
          <w:sz w:val="20"/>
          <w:szCs w:val="20"/>
        </w:rPr>
        <w:t>обяд</w:t>
      </w:r>
      <w:proofErr w:type="spellEnd"/>
      <w:r w:rsidRPr="00B308C1">
        <w:rPr>
          <w:rFonts w:ascii="Verdana" w:hAnsi="Verdana" w:cs="Arial"/>
          <w:bCs/>
          <w:i/>
          <w:sz w:val="20"/>
          <w:szCs w:val="20"/>
        </w:rPr>
        <w:t xml:space="preserve"> 2016 г. – 2019 г.“ </w:t>
      </w:r>
      <w:proofErr w:type="spellStart"/>
      <w:r w:rsidRPr="00B308C1">
        <w:rPr>
          <w:rFonts w:ascii="Verdana" w:hAnsi="Verdana" w:cs="Arial"/>
          <w:bCs/>
          <w:i/>
          <w:sz w:val="20"/>
          <w:szCs w:val="20"/>
        </w:rPr>
        <w:t>от</w:t>
      </w:r>
      <w:proofErr w:type="spellEnd"/>
      <w:r w:rsidRPr="00B308C1">
        <w:rPr>
          <w:rFonts w:ascii="Verdana" w:hAnsi="Verdana" w:cs="Arial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 w:cs="Arial"/>
          <w:bCs/>
          <w:i/>
          <w:sz w:val="20"/>
          <w:szCs w:val="20"/>
        </w:rPr>
        <w:t>ръководените</w:t>
      </w:r>
      <w:proofErr w:type="spellEnd"/>
      <w:r w:rsidRPr="00B308C1">
        <w:rPr>
          <w:rFonts w:ascii="Verdana" w:hAnsi="Verdana" w:cs="Arial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 w:cs="Arial"/>
          <w:bCs/>
          <w:i/>
          <w:sz w:val="20"/>
          <w:szCs w:val="20"/>
        </w:rPr>
        <w:t>от</w:t>
      </w:r>
      <w:proofErr w:type="spellEnd"/>
      <w:r w:rsidRPr="00B308C1">
        <w:rPr>
          <w:rFonts w:ascii="Verdana" w:hAnsi="Verdana" w:cs="Arial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 w:cs="Arial"/>
          <w:bCs/>
          <w:i/>
          <w:sz w:val="20"/>
          <w:szCs w:val="20"/>
        </w:rPr>
        <w:t>Вас</w:t>
      </w:r>
      <w:proofErr w:type="spellEnd"/>
      <w:r w:rsidRPr="00B308C1">
        <w:rPr>
          <w:rFonts w:ascii="Verdana" w:hAnsi="Verdana" w:cs="Arial"/>
          <w:bCs/>
          <w:i/>
          <w:sz w:val="20"/>
          <w:szCs w:val="20"/>
        </w:rPr>
        <w:t xml:space="preserve"> </w:t>
      </w:r>
      <w:proofErr w:type="spellStart"/>
      <w:r w:rsidRPr="00B308C1">
        <w:rPr>
          <w:rFonts w:ascii="Verdana" w:hAnsi="Verdana" w:cs="Arial"/>
          <w:bCs/>
          <w:i/>
          <w:sz w:val="20"/>
          <w:szCs w:val="20"/>
        </w:rPr>
        <w:t>общини</w:t>
      </w:r>
      <w:proofErr w:type="spellEnd"/>
      <w:r w:rsidRPr="00B308C1">
        <w:rPr>
          <w:rFonts w:ascii="Verdana" w:hAnsi="Verdana" w:cs="Arial"/>
          <w:bCs/>
          <w:i/>
          <w:sz w:val="20"/>
          <w:szCs w:val="20"/>
          <w:lang w:val="bg-BG"/>
        </w:rPr>
        <w:t>.</w:t>
      </w:r>
    </w:p>
    <w:p w:rsidR="005A6A57" w:rsidRPr="00B308C1" w:rsidRDefault="005A6A57" w:rsidP="005A6A57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B308C1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При изпълнението на операция тип 3 „Осигуряване на топъл обяд 2016 г. - 2019 г.“ по </w:t>
      </w:r>
      <w:r w:rsidRPr="00B308C1">
        <w:rPr>
          <w:rFonts w:ascii="Verdana" w:eastAsiaTheme="minorEastAsia" w:hAnsi="Verdana"/>
          <w:bCs/>
          <w:i/>
          <w:color w:val="000000"/>
          <w:kern w:val="24"/>
          <w:sz w:val="20"/>
          <w:szCs w:val="20"/>
          <w:lang w:val="bg-BG"/>
        </w:rPr>
        <w:t xml:space="preserve">Оперативна  програма за храни </w:t>
      </w:r>
      <w:r w:rsidRPr="00B308C1">
        <w:rPr>
          <w:rFonts w:ascii="Verdana" w:eastAsiaTheme="minorEastAsia" w:hAnsi="Verdana"/>
          <w:bCs/>
          <w:i/>
          <w:color w:val="000000"/>
          <w:kern w:val="24"/>
          <w:sz w:val="20"/>
          <w:szCs w:val="20"/>
        </w:rPr>
        <w:t xml:space="preserve"> </w:t>
      </w:r>
      <w:r w:rsidRPr="00B308C1">
        <w:rPr>
          <w:rFonts w:ascii="Verdana" w:eastAsiaTheme="minorEastAsia" w:hAnsi="Verdana"/>
          <w:bCs/>
          <w:i/>
          <w:color w:val="000000"/>
          <w:kern w:val="24"/>
          <w:sz w:val="20"/>
          <w:szCs w:val="20"/>
          <w:lang w:val="bg-BG"/>
        </w:rPr>
        <w:t>и/или основно материално подпомагане</w:t>
      </w:r>
      <w:r w:rsidRPr="00B308C1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 , партньорската организация - бенефициент пряко или в сътрудничество с неправителствени организации предлага</w:t>
      </w:r>
      <w:r w:rsidR="00036F5E" w:rsidRPr="00B308C1">
        <w:rPr>
          <w:rFonts w:ascii="Verdana" w:eastAsia="Times New Roman" w:hAnsi="Verdana" w:cs="Times New Roman"/>
          <w:i/>
          <w:sz w:val="20"/>
          <w:szCs w:val="20"/>
          <w:lang w:val="bg-BG"/>
        </w:rPr>
        <w:t>т</w:t>
      </w:r>
      <w:r w:rsidRPr="00B308C1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и съпътстващи мерки.</w:t>
      </w:r>
    </w:p>
    <w:p w:rsidR="002930B9" w:rsidRDefault="00256E6E" w:rsidP="002930B9">
      <w:pPr>
        <w:spacing w:line="360" w:lineRule="auto"/>
        <w:ind w:firstLine="720"/>
        <w:jc w:val="both"/>
        <w:rPr>
          <w:rFonts w:ascii="Verdana" w:hAnsi="Verdana" w:cs="Times New Roman"/>
          <w:i/>
          <w:sz w:val="20"/>
          <w:szCs w:val="20"/>
          <w:lang w:val="bg-BG"/>
        </w:rPr>
      </w:pPr>
      <w:r w:rsidRPr="00B308C1">
        <w:rPr>
          <w:rFonts w:ascii="Verdana" w:hAnsi="Verdana"/>
          <w:i/>
          <w:sz w:val="20"/>
          <w:szCs w:val="20"/>
          <w:lang w:val="bg-BG"/>
        </w:rPr>
        <w:t>Разходите за съпътстващи мерки по операция тип 3 „Осигуряване</w:t>
      </w:r>
      <w:r w:rsidRPr="001F36D9">
        <w:rPr>
          <w:rFonts w:ascii="Verdana" w:hAnsi="Verdana"/>
          <w:i/>
          <w:sz w:val="20"/>
          <w:szCs w:val="20"/>
          <w:lang w:val="bg-BG"/>
        </w:rPr>
        <w:t xml:space="preserve"> на топъл обяд 2016 г.– 2019 г.“, предприети и декларирани от партньорските организации, които доставят храните на най-нуждаещите се лица са под формата на единна ставка в размер на 5 на сто от разходите </w:t>
      </w:r>
      <w:r w:rsidRPr="001F36D9">
        <w:rPr>
          <w:rFonts w:ascii="Verdana" w:hAnsi="Verdana" w:cs="Times New Roman"/>
          <w:i/>
          <w:sz w:val="20"/>
          <w:szCs w:val="20"/>
          <w:lang w:val="bg-BG"/>
        </w:rPr>
        <w:t>за закупуване на хранителни продукти</w:t>
      </w:r>
      <w:r w:rsidR="00772113" w:rsidRPr="001F36D9">
        <w:rPr>
          <w:rFonts w:ascii="Verdana" w:hAnsi="Verdana" w:cs="Times New Roman"/>
          <w:i/>
          <w:sz w:val="20"/>
          <w:szCs w:val="20"/>
          <w:lang w:val="bg-BG"/>
        </w:rPr>
        <w:t>.</w:t>
      </w:r>
      <w:r w:rsidRPr="001F36D9">
        <w:rPr>
          <w:rFonts w:ascii="Verdana" w:hAnsi="Verdana" w:cs="Times New Roman"/>
          <w:i/>
          <w:sz w:val="20"/>
          <w:szCs w:val="20"/>
          <w:lang w:val="bg-BG"/>
        </w:rPr>
        <w:t xml:space="preserve">* </w:t>
      </w:r>
    </w:p>
    <w:p w:rsidR="005A6A57" w:rsidRPr="00911845" w:rsidRDefault="005A6A57" w:rsidP="002930B9">
      <w:pPr>
        <w:spacing w:line="360" w:lineRule="auto"/>
        <w:ind w:firstLine="720"/>
        <w:jc w:val="both"/>
        <w:rPr>
          <w:rFonts w:ascii="Verdana" w:eastAsia="Calibri" w:hAnsi="Verdana" w:cs="Times New Roman"/>
          <w:i/>
          <w:sz w:val="20"/>
          <w:szCs w:val="20"/>
          <w:lang w:val="bg-BG"/>
        </w:rPr>
      </w:pPr>
      <w:r w:rsidRPr="00911845">
        <w:rPr>
          <w:rFonts w:ascii="Verdana" w:eastAsia="Calibri" w:hAnsi="Verdana" w:cs="Times New Roman"/>
          <w:i/>
          <w:sz w:val="20"/>
          <w:szCs w:val="20"/>
          <w:lang w:val="bg-BG"/>
        </w:rPr>
        <w:t>„Разходи за съпътстващи мерки“ по смисъла на чл. 26 от Регламент (ЕС) 223/2014 и  ПМС 37/2015 г. и последващите изменения, са всички разходи за дейности, предвидени в допълнение към разпределянето на храна с цел намаляване на социалното изключване и/или справяне с извънредни социални ситуации по еманципиращ и устойчив начин, като например разходите за консултиране, за изготвяне на информационни материали за основни социални права и насочване към други услуги, за индивидуално и групово консултиране за управление на семейния бюджет, за изготвяне на насоки за балансиран режим на хранене и др.</w:t>
      </w:r>
    </w:p>
    <w:p w:rsidR="00294A17" w:rsidRDefault="006E64EE" w:rsidP="006E64EE">
      <w:pPr>
        <w:pStyle w:val="NormalWeb"/>
        <w:spacing w:before="0" w:beforeAutospacing="0" w:after="0" w:afterAutospacing="0"/>
        <w:textAlignment w:val="baseline"/>
        <w:rPr>
          <w:rFonts w:ascii="Verdana" w:eastAsiaTheme="minorEastAsia" w:hAnsi="Verdana"/>
          <w:b/>
          <w:bCs/>
          <w:kern w:val="24"/>
          <w:sz w:val="20"/>
          <w:szCs w:val="20"/>
          <w14:shadow w14:blurRad="38100" w14:dist="38100" w14:dir="2700000" w14:sx="100000" w14:sy="100000" w14:kx="0" w14:ky="0" w14:algn="tl">
            <w14:srgbClr w14:val="C0C0C0"/>
          </w14:shadow>
        </w:rPr>
      </w:pPr>
      <w:r w:rsidRPr="006E64EE">
        <w:rPr>
          <w:rFonts w:ascii="Verdana" w:eastAsiaTheme="minorEastAsia" w:hAnsi="Verdana"/>
          <w:b/>
          <w:bCs/>
          <w:kern w:val="24"/>
          <w:sz w:val="20"/>
          <w:szCs w:val="20"/>
          <w14:shadow w14:blurRad="38100" w14:dist="38100" w14:dir="2700000" w14:sx="100000" w14:sy="100000" w14:kx="0" w14:ky="0" w14:algn="tl">
            <w14:srgbClr w14:val="C0C0C0"/>
          </w14:shadow>
        </w:rPr>
        <w:t>I</w:t>
      </w:r>
      <w:r w:rsidRPr="006E64EE">
        <w:rPr>
          <w:rFonts w:ascii="Verdana" w:eastAsiaTheme="minorEastAsia" w:hAnsi="Verdana"/>
          <w:b/>
          <w:bCs/>
          <w:kern w:val="24"/>
          <w:sz w:val="20"/>
          <w:szCs w:val="20"/>
          <w:lang w:val="bg-BG"/>
          <w14:shadow w14:blurRad="38100" w14:dist="38100" w14:dir="2700000" w14:sx="100000" w14:sy="100000" w14:kx="0" w14:ky="0" w14:algn="tl">
            <w14:srgbClr w14:val="C0C0C0"/>
          </w14:shadow>
        </w:rPr>
        <w:t>.Принципи при предоставяне на съпътстващи мерки</w:t>
      </w:r>
    </w:p>
    <w:p w:rsidR="006E64EE" w:rsidRPr="006E64EE" w:rsidRDefault="006E64EE" w:rsidP="006E64EE">
      <w:pPr>
        <w:pStyle w:val="NormalWeb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6E64EE">
        <w:rPr>
          <w:rFonts w:ascii="Verdana" w:eastAsiaTheme="minorEastAsia" w:hAnsi="Verdana"/>
          <w:b/>
          <w:bCs/>
          <w:kern w:val="24"/>
          <w:sz w:val="20"/>
          <w:szCs w:val="20"/>
          <w:lang w:val="bg-BG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</w:p>
    <w:p w:rsidR="00455A27" w:rsidRDefault="006E64EE" w:rsidP="002930B9">
      <w:pPr>
        <w:spacing w:line="360" w:lineRule="auto"/>
        <w:jc w:val="both"/>
        <w:rPr>
          <w:rFonts w:ascii="Verdana" w:eastAsiaTheme="minorEastAsia" w:hAnsi="Verdana"/>
          <w:i/>
          <w:color w:val="000000" w:themeColor="text1"/>
          <w:kern w:val="24"/>
          <w:sz w:val="20"/>
          <w:szCs w:val="20"/>
          <w:lang w:val="bg-BG"/>
        </w:rPr>
      </w:pPr>
      <w:r w:rsidRPr="00992BAF">
        <w:rPr>
          <w:rFonts w:ascii="Verdana" w:eastAsiaTheme="minorEastAsia" w:hAnsi="Verdana"/>
          <w:i/>
          <w:color w:val="000000" w:themeColor="text1"/>
          <w:kern w:val="24"/>
          <w:sz w:val="20"/>
          <w:szCs w:val="20"/>
          <w:lang w:val="bg-BG"/>
        </w:rPr>
        <w:t>В съответствие с действащото законодателство и изискванията на Регламент № 223/2014 на Европейския парламент и на Съвета, относно Фонда за европейско подпомагане на най - нуждаещите се лица, предоставянето на съпътстващите мерки се осъществява при зачитане основните права и съблюдаване принципите, признати по-специално в Хартата на основните права на Европейския съюз.</w:t>
      </w:r>
    </w:p>
    <w:p w:rsidR="001F36D9" w:rsidRPr="00EC68D1" w:rsidRDefault="00455A27" w:rsidP="00EC68D1">
      <w:pPr>
        <w:spacing w:line="360" w:lineRule="auto"/>
        <w:jc w:val="both"/>
        <w:rPr>
          <w:rFonts w:ascii="Verdana" w:eastAsiaTheme="minorEastAsia" w:hAnsi="Verdana"/>
          <w:i/>
          <w:color w:val="7F7F7F" w:themeColor="text1" w:themeTint="80"/>
          <w:kern w:val="24"/>
          <w:sz w:val="16"/>
          <w:szCs w:val="16"/>
        </w:rPr>
      </w:pPr>
      <w:r>
        <w:rPr>
          <w:rFonts w:ascii="Verdana" w:hAnsi="Verdana"/>
          <w:color w:val="7F7F7F" w:themeColor="text1" w:themeTint="80"/>
          <w:sz w:val="16"/>
          <w:szCs w:val="16"/>
        </w:rPr>
        <w:t>*</w:t>
      </w:r>
      <w:r w:rsidR="00990CA8" w:rsidRPr="0081167F">
        <w:rPr>
          <w:rFonts w:ascii="Verdana" w:hAnsi="Verdana"/>
          <w:color w:val="7F7F7F" w:themeColor="text1" w:themeTint="80"/>
          <w:sz w:val="16"/>
          <w:szCs w:val="16"/>
          <w:lang w:val="bg-BG"/>
        </w:rPr>
        <w:t xml:space="preserve">Изчисляват се на базата на разхода за единица </w:t>
      </w:r>
      <w:proofErr w:type="gramStart"/>
      <w:r w:rsidR="00990CA8" w:rsidRPr="0081167F">
        <w:rPr>
          <w:rFonts w:ascii="Verdana" w:hAnsi="Verdana"/>
          <w:color w:val="7F7F7F" w:themeColor="text1" w:themeTint="80"/>
          <w:sz w:val="16"/>
          <w:szCs w:val="16"/>
          <w:lang w:val="bg-BG"/>
        </w:rPr>
        <w:t>продукт  (</w:t>
      </w:r>
      <w:proofErr w:type="gramEnd"/>
      <w:r w:rsidR="00990CA8" w:rsidRPr="0081167F">
        <w:rPr>
          <w:rFonts w:ascii="Verdana" w:hAnsi="Verdana"/>
          <w:color w:val="7F7F7F" w:themeColor="text1" w:themeTint="80"/>
          <w:sz w:val="16"/>
          <w:szCs w:val="16"/>
          <w:lang w:val="bg-BG"/>
        </w:rPr>
        <w:t>определен в</w:t>
      </w:r>
      <w:r w:rsidR="00476CF2">
        <w:rPr>
          <w:rFonts w:ascii="Verdana" w:hAnsi="Verdana"/>
          <w:color w:val="7F7F7F" w:themeColor="text1" w:themeTint="80"/>
          <w:sz w:val="16"/>
          <w:szCs w:val="16"/>
          <w:lang w:val="bg-BG"/>
        </w:rPr>
        <w:t xml:space="preserve"> размер на 2.50 лв. за храноден </w:t>
      </w:r>
      <w:r w:rsidR="00990CA8" w:rsidRPr="0081167F">
        <w:rPr>
          <w:rFonts w:ascii="Verdana" w:hAnsi="Verdana"/>
          <w:color w:val="7F7F7F" w:themeColor="text1" w:themeTint="80"/>
          <w:sz w:val="16"/>
          <w:szCs w:val="16"/>
          <w:lang w:val="bg-BG"/>
        </w:rPr>
        <w:t>за едно лице от целевата група), умножена по броя на потребителите на съответната услуга</w:t>
      </w:r>
      <w:r w:rsidR="00990CA8" w:rsidRPr="0081167F">
        <w:rPr>
          <w:rFonts w:ascii="Verdana" w:hAnsi="Verdana"/>
          <w:color w:val="7F7F7F" w:themeColor="text1" w:themeTint="80"/>
          <w:sz w:val="16"/>
          <w:szCs w:val="16"/>
        </w:rPr>
        <w:t xml:space="preserve"> </w:t>
      </w:r>
      <w:r w:rsidR="00990CA8" w:rsidRPr="0081167F">
        <w:rPr>
          <w:rFonts w:ascii="Verdana" w:hAnsi="Verdana"/>
          <w:color w:val="7F7F7F" w:themeColor="text1" w:themeTint="80"/>
          <w:sz w:val="16"/>
          <w:szCs w:val="16"/>
          <w:lang w:val="bg-BG"/>
        </w:rPr>
        <w:t>и броя на дните, за периода на предоставяне на услугата</w:t>
      </w:r>
    </w:p>
    <w:p w:rsidR="006E64EE" w:rsidRPr="006E64EE" w:rsidRDefault="006E64EE" w:rsidP="00992BAF">
      <w:pPr>
        <w:numPr>
          <w:ilvl w:val="0"/>
          <w:numId w:val="1"/>
        </w:numPr>
        <w:kinsoku w:val="0"/>
        <w:overflowPunct w:val="0"/>
        <w:spacing w:after="0" w:line="360" w:lineRule="auto"/>
        <w:contextualSpacing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6E64EE">
        <w:rPr>
          <w:rFonts w:ascii="Verdana" w:eastAsiaTheme="minorEastAsia" w:hAnsi="Verdana"/>
          <w:b/>
          <w:bCs/>
          <w:color w:val="000000" w:themeColor="text1"/>
          <w:kern w:val="24"/>
          <w:sz w:val="20"/>
          <w:szCs w:val="20"/>
          <w:lang w:val="bg-BG"/>
        </w:rPr>
        <w:lastRenderedPageBreak/>
        <w:t>Зачитане на човешкото достойнство на потребителя:</w:t>
      </w:r>
      <w:r w:rsidRPr="006E64EE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</w:t>
      </w:r>
    </w:p>
    <w:p w:rsidR="006E64EE" w:rsidRPr="006E64EE" w:rsidRDefault="006E64EE" w:rsidP="00992BAF">
      <w:pPr>
        <w:kinsoku w:val="0"/>
        <w:overflowPunct w:val="0"/>
        <w:spacing w:after="0" w:line="360" w:lineRule="auto"/>
        <w:jc w:val="both"/>
        <w:textAlignment w:val="baseline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  <w:r w:rsidRPr="006E64EE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Подкрепата, която се оказва на потребителя, следва да се извършва по деликатен и ненатрапчив начин. Предоставящите съпътстващи мерки следва да се отнасят с уважение и разбиране към възрастовите, физическите, умствените, психическите, религиозните, етническите, културните и половите различия на потребителите, както и на техните близки и роднини. </w:t>
      </w:r>
    </w:p>
    <w:p w:rsidR="006E64EE" w:rsidRPr="006E64EE" w:rsidRDefault="006E64EE" w:rsidP="00992BAF">
      <w:pPr>
        <w:kinsoku w:val="0"/>
        <w:overflowPunct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6E64EE" w:rsidRPr="006E64EE" w:rsidRDefault="006E64EE" w:rsidP="00992BAF">
      <w:pPr>
        <w:numPr>
          <w:ilvl w:val="0"/>
          <w:numId w:val="2"/>
        </w:numPr>
        <w:kinsoku w:val="0"/>
        <w:overflowPunct w:val="0"/>
        <w:spacing w:after="0" w:line="360" w:lineRule="auto"/>
        <w:contextualSpacing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6E64EE">
        <w:rPr>
          <w:rFonts w:ascii="Verdana" w:eastAsiaTheme="minorEastAsia" w:hAnsi="Verdana"/>
          <w:b/>
          <w:bCs/>
          <w:color w:val="000000" w:themeColor="text1"/>
          <w:kern w:val="24"/>
          <w:sz w:val="20"/>
          <w:szCs w:val="20"/>
          <w:lang w:val="bg-BG"/>
        </w:rPr>
        <w:t xml:space="preserve">Зачитане правото на избор и независимост на потребителя: </w:t>
      </w:r>
    </w:p>
    <w:p w:rsidR="006E64EE" w:rsidRPr="006E64EE" w:rsidRDefault="006E64EE" w:rsidP="00992BAF">
      <w:pPr>
        <w:kinsoku w:val="0"/>
        <w:overflowPunct w:val="0"/>
        <w:spacing w:after="0" w:line="360" w:lineRule="auto"/>
        <w:jc w:val="both"/>
        <w:textAlignment w:val="baseline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  <w:r w:rsidRPr="006E64EE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Експертите са длъжни да зачитат правото на избор на потребителя</w:t>
      </w:r>
      <w:r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,</w:t>
      </w:r>
      <w:r w:rsidRPr="006E64EE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</w:t>
      </w:r>
      <w:r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както и да го подкрепят за взимане на лични решения</w:t>
      </w:r>
      <w:r w:rsidRPr="006E64EE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по въпроси, които пряко го касаят - избор на личен лекар, избор на видове </w:t>
      </w:r>
      <w:r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социални </w:t>
      </w:r>
      <w:r w:rsidRPr="006E64EE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услуги, които желае да ползва и други. В работата те трябва да се ръководят на първо място от интересите на потребителите, да приемат и зачитат тяхното право на самоопределение. </w:t>
      </w:r>
    </w:p>
    <w:p w:rsidR="006E64EE" w:rsidRPr="006E64EE" w:rsidRDefault="006E64EE" w:rsidP="00992BAF">
      <w:pPr>
        <w:kinsoku w:val="0"/>
        <w:overflowPunct w:val="0"/>
        <w:spacing w:after="0" w:line="360" w:lineRule="auto"/>
        <w:jc w:val="both"/>
        <w:textAlignment w:val="baseline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</w:p>
    <w:p w:rsidR="006E64EE" w:rsidRPr="006E64EE" w:rsidRDefault="006E64EE" w:rsidP="00992BAF">
      <w:pPr>
        <w:numPr>
          <w:ilvl w:val="0"/>
          <w:numId w:val="3"/>
        </w:numPr>
        <w:kinsoku w:val="0"/>
        <w:overflowPunct w:val="0"/>
        <w:spacing w:after="0" w:line="360" w:lineRule="auto"/>
        <w:contextualSpacing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6E64EE">
        <w:rPr>
          <w:rFonts w:ascii="Verdana" w:eastAsiaTheme="minorEastAsia" w:hAnsi="Verdana"/>
          <w:b/>
          <w:bCs/>
          <w:color w:val="000000" w:themeColor="text1"/>
          <w:kern w:val="24"/>
          <w:sz w:val="20"/>
          <w:szCs w:val="20"/>
          <w:lang w:val="bg-BG"/>
        </w:rPr>
        <w:t xml:space="preserve">Конфиденциалност и защита на лична информация: </w:t>
      </w:r>
    </w:p>
    <w:p w:rsidR="006E64EE" w:rsidRDefault="00F62F78" w:rsidP="00992BAF">
      <w:pPr>
        <w:kinsoku w:val="0"/>
        <w:overflowPunct w:val="0"/>
        <w:spacing w:line="360" w:lineRule="auto"/>
        <w:jc w:val="both"/>
        <w:textAlignment w:val="baseline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  <w:r w:rsidRPr="00F62F78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Поверителността на личните данни трябва да бъде гарантирана в съответствие със Закона за защита на личните данни. </w:t>
      </w:r>
      <w:r w:rsidR="006E64EE" w:rsidRPr="006E64EE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Конфиденциалността е свързана с неотменното право на човека да съхранява своята личност, като притежава свои тайни и сам решава кога и как да ги разкрие. </w:t>
      </w:r>
      <w:r w:rsidR="00AA6638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Предоставящите съпътстващи мерки са</w:t>
      </w:r>
      <w:r w:rsidR="006E64EE" w:rsidRPr="006E64EE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задължен</w:t>
      </w:r>
      <w:r w:rsidR="00AA6638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и</w:t>
      </w:r>
      <w:r w:rsidR="006E64EE" w:rsidRPr="006E64EE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да не разпространява</w:t>
      </w:r>
      <w:r w:rsidR="00AA6638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т</w:t>
      </w:r>
      <w:r w:rsidR="006E64EE" w:rsidRPr="006E64EE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лична информация за потребителите. </w:t>
      </w:r>
    </w:p>
    <w:p w:rsidR="00992BAF" w:rsidRDefault="00992BAF" w:rsidP="00992BAF">
      <w:pPr>
        <w:pStyle w:val="NormalWeb"/>
        <w:spacing w:before="0" w:beforeAutospacing="0" w:after="0" w:afterAutospacing="0"/>
        <w:textAlignment w:val="baseline"/>
        <w:rPr>
          <w:rFonts w:ascii="Verdana" w:eastAsiaTheme="minorEastAsia" w:hAnsi="Verdana"/>
          <w:b/>
          <w:kern w:val="24"/>
          <w:sz w:val="20"/>
          <w:szCs w:val="20"/>
          <w:lang w:val="bg-BG"/>
        </w:rPr>
      </w:pPr>
    </w:p>
    <w:p w:rsidR="00992BAF" w:rsidRDefault="00992BAF" w:rsidP="00992BAF">
      <w:pPr>
        <w:pStyle w:val="NormalWeb"/>
        <w:spacing w:before="0" w:beforeAutospacing="0" w:after="0" w:afterAutospacing="0"/>
        <w:textAlignment w:val="baseline"/>
        <w:rPr>
          <w:rFonts w:ascii="Verdana" w:eastAsiaTheme="minorEastAsia" w:hAnsi="Verdana"/>
          <w:b/>
          <w:bCs/>
          <w:kern w:val="24"/>
          <w:sz w:val="20"/>
          <w:szCs w:val="20"/>
          <w:u w:val="single"/>
          <w:lang w:val="bg-BG"/>
          <w14:shadow w14:blurRad="38100" w14:dist="38100" w14:dir="2700000" w14:sx="100000" w14:sy="100000" w14:kx="0" w14:ky="0" w14:algn="tl">
            <w14:srgbClr w14:val="C0C0C0"/>
          </w14:shadow>
        </w:rPr>
      </w:pPr>
      <w:r w:rsidRPr="00992BAF">
        <w:rPr>
          <w:rFonts w:ascii="Verdana" w:eastAsiaTheme="minorEastAsia" w:hAnsi="Verdana"/>
          <w:b/>
          <w:kern w:val="24"/>
          <w:sz w:val="20"/>
          <w:szCs w:val="20"/>
          <w:lang w:val="bg-BG"/>
        </w:rPr>
        <w:t>II.</w:t>
      </w:r>
      <w:r w:rsidRPr="00992BAF">
        <w:rPr>
          <w:rFonts w:ascii="Verdana" w:eastAsiaTheme="minorEastAsia" w:hAnsi="Verdana"/>
          <w:b/>
          <w:bCs/>
          <w:shadow/>
          <w:kern w:val="24"/>
          <w:sz w:val="20"/>
          <w:szCs w:val="20"/>
          <w:u w:val="single"/>
          <w:lang w:val="bg-BG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Pr="00992BAF">
        <w:rPr>
          <w:rFonts w:ascii="Verdana" w:eastAsiaTheme="minorEastAsia" w:hAnsi="Verdana"/>
          <w:b/>
          <w:bCs/>
          <w:kern w:val="24"/>
          <w:sz w:val="20"/>
          <w:szCs w:val="20"/>
          <w:u w:val="single"/>
          <w:lang w:val="bg-BG"/>
          <w14:shadow w14:blurRad="38100" w14:dist="38100" w14:dir="2700000" w14:sx="100000" w14:sy="100000" w14:kx="0" w14:ky="0" w14:algn="tl">
            <w14:srgbClr w14:val="C0C0C0"/>
          </w14:shadow>
        </w:rPr>
        <w:t>Кой предоставя съпътстващи мерки</w:t>
      </w:r>
      <w:r w:rsidR="008C5ADF">
        <w:rPr>
          <w:rFonts w:ascii="Verdana" w:eastAsiaTheme="minorEastAsia" w:hAnsi="Verdana"/>
          <w:b/>
          <w:bCs/>
          <w:kern w:val="24"/>
          <w:sz w:val="20"/>
          <w:szCs w:val="20"/>
          <w:u w:val="single"/>
          <w:lang w:val="bg-BG"/>
          <w14:shadow w14:blurRad="38100" w14:dist="38100" w14:dir="2700000" w14:sx="100000" w14:sy="100000" w14:kx="0" w14:ky="0" w14:algn="tl">
            <w14:srgbClr w14:val="C0C0C0"/>
          </w14:shadow>
        </w:rPr>
        <w:t>?</w:t>
      </w:r>
      <w:r w:rsidRPr="00992BAF">
        <w:rPr>
          <w:rFonts w:ascii="Verdana" w:eastAsiaTheme="minorEastAsia" w:hAnsi="Verdana"/>
          <w:b/>
          <w:bCs/>
          <w:kern w:val="24"/>
          <w:sz w:val="20"/>
          <w:szCs w:val="20"/>
          <w:u w:val="single"/>
          <w:lang w:val="bg-BG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</w:p>
    <w:p w:rsidR="001F36D9" w:rsidRPr="00992BAF" w:rsidRDefault="001F36D9" w:rsidP="00992BAF">
      <w:pPr>
        <w:pStyle w:val="NormalWeb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</w:p>
    <w:p w:rsidR="001F36D9" w:rsidRDefault="001F36D9" w:rsidP="001F36D9">
      <w:pPr>
        <w:pStyle w:val="NormalWeb"/>
        <w:kinsoku w:val="0"/>
        <w:overflowPunct w:val="0"/>
        <w:spacing w:before="0" w:beforeAutospacing="0" w:after="0" w:afterAutospacing="0" w:line="360" w:lineRule="auto"/>
        <w:ind w:firstLine="360"/>
        <w:jc w:val="both"/>
        <w:textAlignment w:val="baseline"/>
        <w:rPr>
          <w:rFonts w:ascii="Verdana" w:eastAsiaTheme="minorEastAsia" w:hAnsi="Verdana" w:cstheme="minorBidi"/>
          <w:color w:val="000000" w:themeColor="text1"/>
          <w:kern w:val="24"/>
          <w:sz w:val="20"/>
          <w:szCs w:val="20"/>
          <w:lang w:val="bg-BG"/>
        </w:rPr>
      </w:pPr>
      <w:r>
        <w:rPr>
          <w:rFonts w:ascii="Verdana" w:eastAsiaTheme="minorEastAsia" w:hAnsi="Verdana" w:cstheme="minorBidi"/>
          <w:color w:val="000000" w:themeColor="text1"/>
          <w:kern w:val="24"/>
          <w:sz w:val="20"/>
          <w:szCs w:val="20"/>
          <w:lang w:val="bg-BG"/>
        </w:rPr>
        <w:t>Предоставянето на съпътстващи мерки е ангажимент на партньорските организации – общини, изпълняващи проекти по Операцията.</w:t>
      </w:r>
    </w:p>
    <w:p w:rsidR="001F36D9" w:rsidRPr="001F36D9" w:rsidRDefault="004B69FE" w:rsidP="001F36D9">
      <w:pPr>
        <w:pStyle w:val="NormalWeb"/>
        <w:kinsoku w:val="0"/>
        <w:overflowPunct w:val="0"/>
        <w:spacing w:before="0" w:beforeAutospacing="0" w:after="0" w:afterAutospacing="0" w:line="360" w:lineRule="auto"/>
        <w:ind w:firstLine="360"/>
        <w:jc w:val="both"/>
        <w:textAlignment w:val="baseline"/>
        <w:rPr>
          <w:rFonts w:ascii="Verdana" w:eastAsiaTheme="minorEastAsia" w:hAnsi="Verdana" w:cstheme="minorBidi"/>
          <w:color w:val="000000" w:themeColor="text1"/>
          <w:kern w:val="24"/>
          <w:sz w:val="20"/>
          <w:szCs w:val="20"/>
          <w:lang w:val="bg-BG"/>
        </w:rPr>
      </w:pPr>
      <w:r w:rsidRPr="004B69FE">
        <w:rPr>
          <w:rFonts w:ascii="Verdana" w:eastAsiaTheme="minorEastAsia" w:hAnsi="Verdana" w:cstheme="minorBidi"/>
          <w:color w:val="000000" w:themeColor="text1"/>
          <w:kern w:val="24"/>
          <w:sz w:val="20"/>
          <w:szCs w:val="20"/>
          <w:lang w:val="bg-BG"/>
        </w:rPr>
        <w:t xml:space="preserve">Съпътстващи мерки се предоставят в сътрудничество </w:t>
      </w:r>
      <w:r w:rsidR="001F36D9">
        <w:rPr>
          <w:rFonts w:ascii="Verdana" w:eastAsiaTheme="minorEastAsia" w:hAnsi="Verdana" w:cstheme="minorBidi"/>
          <w:color w:val="000000" w:themeColor="text1"/>
          <w:kern w:val="24"/>
          <w:sz w:val="20"/>
          <w:szCs w:val="20"/>
          <w:lang w:val="bg-BG"/>
        </w:rPr>
        <w:t>между</w:t>
      </w:r>
      <w:r w:rsidRPr="004B69FE">
        <w:rPr>
          <w:rFonts w:ascii="Verdana" w:eastAsiaTheme="minorEastAsia" w:hAnsi="Verdana" w:cstheme="minorBidi"/>
          <w:color w:val="000000" w:themeColor="text1"/>
          <w:kern w:val="24"/>
          <w:sz w:val="20"/>
          <w:szCs w:val="20"/>
          <w:lang w:val="bg-BG"/>
        </w:rPr>
        <w:t xml:space="preserve"> местните общински администрации</w:t>
      </w:r>
      <w:r w:rsidR="001F36D9">
        <w:rPr>
          <w:rFonts w:ascii="Verdana" w:eastAsiaTheme="minorEastAsia" w:hAnsi="Verdana" w:cstheme="minorBidi"/>
          <w:color w:val="000000" w:themeColor="text1"/>
          <w:kern w:val="24"/>
          <w:sz w:val="20"/>
          <w:szCs w:val="20"/>
          <w:lang w:val="bg-BG"/>
        </w:rPr>
        <w:t>, социалните, здравните служби</w:t>
      </w:r>
      <w:r w:rsidRPr="004B69FE">
        <w:rPr>
          <w:rFonts w:ascii="Verdana" w:eastAsiaTheme="minorEastAsia" w:hAnsi="Verdana" w:cstheme="minorBidi"/>
          <w:color w:val="000000" w:themeColor="text1"/>
          <w:kern w:val="24"/>
          <w:sz w:val="20"/>
          <w:szCs w:val="20"/>
          <w:lang w:val="bg-BG"/>
        </w:rPr>
        <w:t xml:space="preserve"> в общините, кметствата и селата с цел максимално включване на потребителите в тези дейности. Лицата, които </w:t>
      </w:r>
      <w:r w:rsidR="001F36D9">
        <w:rPr>
          <w:rFonts w:ascii="Verdana" w:eastAsiaTheme="minorEastAsia" w:hAnsi="Verdana" w:cstheme="minorBidi"/>
          <w:color w:val="000000" w:themeColor="text1"/>
          <w:kern w:val="24"/>
          <w:sz w:val="20"/>
          <w:szCs w:val="20"/>
          <w:lang w:val="bg-BG"/>
        </w:rPr>
        <w:t>предоставят</w:t>
      </w:r>
      <w:r w:rsidRPr="004B69FE">
        <w:rPr>
          <w:rFonts w:ascii="Verdana" w:eastAsiaTheme="minorEastAsia" w:hAnsi="Verdana" w:cstheme="minorBidi"/>
          <w:color w:val="000000" w:themeColor="text1"/>
          <w:kern w:val="24"/>
          <w:sz w:val="20"/>
          <w:szCs w:val="20"/>
          <w:lang w:val="bg-BG"/>
        </w:rPr>
        <w:t xml:space="preserve"> съпътстващи мерки е възможно да са от етнически общности в обслужваните райони, които са с необходимия авторитет пред общността.</w:t>
      </w:r>
      <w:r w:rsidR="001F36D9">
        <w:rPr>
          <w:rFonts w:ascii="Verdana" w:eastAsiaTheme="minorEastAsia" w:hAnsi="Verdana" w:cstheme="minorBidi"/>
          <w:color w:val="000000" w:themeColor="text1"/>
          <w:kern w:val="24"/>
          <w:sz w:val="20"/>
          <w:szCs w:val="20"/>
          <w:lang w:val="bg-BG"/>
        </w:rPr>
        <w:t xml:space="preserve"> </w:t>
      </w:r>
    </w:p>
    <w:p w:rsidR="004B69FE" w:rsidRDefault="004B69FE" w:rsidP="001F36D9">
      <w:pPr>
        <w:pStyle w:val="NormalWeb"/>
        <w:kinsoku w:val="0"/>
        <w:overflowPunct w:val="0"/>
        <w:spacing w:before="0" w:beforeAutospacing="0" w:after="0" w:afterAutospacing="0" w:line="360" w:lineRule="auto"/>
        <w:ind w:firstLine="360"/>
        <w:jc w:val="both"/>
        <w:textAlignment w:val="baseline"/>
        <w:rPr>
          <w:rFonts w:ascii="Verdana" w:eastAsiaTheme="minorEastAsia" w:hAnsi="Verdana" w:cstheme="minorBidi"/>
          <w:color w:val="000000" w:themeColor="text1"/>
          <w:kern w:val="24"/>
          <w:sz w:val="20"/>
          <w:szCs w:val="20"/>
          <w:lang w:val="bg-BG"/>
        </w:rPr>
      </w:pPr>
      <w:r w:rsidRPr="004B69FE">
        <w:rPr>
          <w:rFonts w:ascii="Verdana" w:eastAsiaTheme="minorEastAsia" w:hAnsi="Verdana" w:cstheme="minorBidi"/>
          <w:color w:val="000000" w:themeColor="text1"/>
          <w:kern w:val="24"/>
          <w:sz w:val="20"/>
          <w:szCs w:val="20"/>
          <w:lang w:val="bg-BG"/>
        </w:rPr>
        <w:t xml:space="preserve">Допустимо е съпътстващите мерки да се предоставят от други </w:t>
      </w:r>
      <w:r w:rsidR="001F36D9">
        <w:rPr>
          <w:rFonts w:ascii="Verdana" w:eastAsiaTheme="minorEastAsia" w:hAnsi="Verdana" w:cstheme="minorBidi"/>
          <w:color w:val="000000" w:themeColor="text1"/>
          <w:kern w:val="24"/>
          <w:sz w:val="20"/>
          <w:szCs w:val="20"/>
          <w:lang w:val="bg-BG"/>
        </w:rPr>
        <w:t xml:space="preserve">външни за съответната община </w:t>
      </w:r>
      <w:r w:rsidRPr="004B69FE">
        <w:rPr>
          <w:rFonts w:ascii="Verdana" w:eastAsiaTheme="minorEastAsia" w:hAnsi="Verdana" w:cstheme="minorBidi"/>
          <w:color w:val="000000" w:themeColor="text1"/>
          <w:kern w:val="24"/>
          <w:sz w:val="20"/>
          <w:szCs w:val="20"/>
          <w:lang w:val="bg-BG"/>
        </w:rPr>
        <w:t xml:space="preserve">организации, като за целта следва да се сключат партньорски споразумения </w:t>
      </w:r>
      <w:r w:rsidR="001F36D9">
        <w:rPr>
          <w:rFonts w:ascii="Verdana" w:eastAsiaTheme="minorEastAsia" w:hAnsi="Verdana" w:cstheme="minorBidi"/>
          <w:color w:val="000000" w:themeColor="text1"/>
          <w:kern w:val="24"/>
          <w:sz w:val="20"/>
          <w:szCs w:val="20"/>
          <w:lang w:val="bg-BG"/>
        </w:rPr>
        <w:t xml:space="preserve">между </w:t>
      </w:r>
      <w:r w:rsidRPr="004B69FE">
        <w:rPr>
          <w:rFonts w:ascii="Verdana" w:eastAsiaTheme="minorEastAsia" w:hAnsi="Verdana" w:cstheme="minorBidi"/>
          <w:color w:val="000000" w:themeColor="text1"/>
          <w:kern w:val="24"/>
          <w:sz w:val="20"/>
          <w:szCs w:val="20"/>
          <w:lang w:val="bg-BG"/>
        </w:rPr>
        <w:t>тях. Ролята на партньора/ите се изразява в реализиране на съпътстващи мерки, в съответствие с изискванията на Регламент /ЕС/ № 223/2014 на Европейския парламент и на Съвета.</w:t>
      </w:r>
    </w:p>
    <w:p w:rsidR="007D508E" w:rsidRPr="00EC68D1" w:rsidRDefault="007D508E" w:rsidP="007D508E">
      <w:pPr>
        <w:pStyle w:val="ListParagraph"/>
        <w:numPr>
          <w:ilvl w:val="0"/>
          <w:numId w:val="11"/>
        </w:numPr>
        <w:spacing w:line="360" w:lineRule="auto"/>
        <w:ind w:left="0" w:firstLine="720"/>
        <w:jc w:val="both"/>
        <w:rPr>
          <w:rFonts w:ascii="Verdana" w:hAnsi="Verdana"/>
          <w:sz w:val="20"/>
          <w:szCs w:val="20"/>
          <w:lang w:val="bg-BG" w:eastAsia="bg-BG"/>
        </w:rPr>
      </w:pPr>
      <w:r w:rsidRPr="007D508E">
        <w:rPr>
          <w:rFonts w:ascii="Verdana" w:hAnsi="Verdana"/>
          <w:sz w:val="20"/>
          <w:szCs w:val="20"/>
          <w:lang w:val="bg-BG" w:eastAsia="bg-BG"/>
        </w:rPr>
        <w:t>Правата и задълженията по Договора във връзка с предоставяне на съпътстващи мерки не могат да бъдат прехвърляни или възлагани на трето лице без предварително писмено одобрение от Управляващия орган.</w:t>
      </w:r>
    </w:p>
    <w:p w:rsidR="00EC68D1" w:rsidRDefault="00EC68D1" w:rsidP="00EC68D1">
      <w:pPr>
        <w:spacing w:line="360" w:lineRule="auto"/>
        <w:jc w:val="both"/>
        <w:rPr>
          <w:rFonts w:ascii="Verdana" w:hAnsi="Verdana"/>
          <w:sz w:val="20"/>
          <w:szCs w:val="20"/>
          <w:lang w:eastAsia="bg-BG"/>
        </w:rPr>
      </w:pPr>
    </w:p>
    <w:p w:rsidR="00EC68D1" w:rsidRDefault="00EC68D1" w:rsidP="00EC68D1">
      <w:pPr>
        <w:spacing w:line="360" w:lineRule="auto"/>
        <w:jc w:val="both"/>
        <w:rPr>
          <w:rFonts w:ascii="Verdana" w:hAnsi="Verdana"/>
          <w:sz w:val="20"/>
          <w:szCs w:val="20"/>
          <w:lang w:eastAsia="bg-BG"/>
        </w:rPr>
      </w:pPr>
    </w:p>
    <w:p w:rsidR="00612022" w:rsidRPr="00EC68D1" w:rsidRDefault="00612022" w:rsidP="00612022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ascii="Verdana" w:hAnsi="Verdana"/>
          <w:b/>
          <w:sz w:val="20"/>
          <w:szCs w:val="20"/>
        </w:rPr>
      </w:pPr>
    </w:p>
    <w:p w:rsidR="00EC68D1" w:rsidRDefault="00EC68D1" w:rsidP="00612022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ascii="Verdana" w:hAnsi="Verdana"/>
          <w:b/>
          <w:sz w:val="20"/>
          <w:szCs w:val="20"/>
        </w:rPr>
      </w:pPr>
    </w:p>
    <w:p w:rsidR="00612022" w:rsidRDefault="00612022" w:rsidP="00612022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ascii="Verdana" w:hAnsi="Verdana"/>
          <w:b/>
          <w:sz w:val="20"/>
          <w:szCs w:val="20"/>
          <w:lang w:val="bg-BG"/>
        </w:rPr>
      </w:pPr>
      <w:r w:rsidRPr="00612022">
        <w:rPr>
          <w:rFonts w:ascii="Verdana" w:hAnsi="Verdana"/>
          <w:b/>
          <w:sz w:val="20"/>
          <w:szCs w:val="20"/>
        </w:rPr>
        <w:lastRenderedPageBreak/>
        <w:t xml:space="preserve">III. </w:t>
      </w:r>
      <w:r>
        <w:rPr>
          <w:rFonts w:ascii="Verdana" w:hAnsi="Verdana"/>
          <w:b/>
          <w:sz w:val="20"/>
          <w:szCs w:val="20"/>
          <w:lang w:val="bg-BG"/>
        </w:rPr>
        <w:t>Основни в</w:t>
      </w:r>
      <w:r w:rsidRPr="00612022">
        <w:rPr>
          <w:rFonts w:ascii="Verdana" w:hAnsi="Verdana"/>
          <w:b/>
          <w:sz w:val="20"/>
          <w:szCs w:val="20"/>
          <w:lang w:val="bg-BG"/>
        </w:rPr>
        <w:t>идове</w:t>
      </w:r>
      <w:r w:rsidR="00287061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612022">
        <w:rPr>
          <w:rFonts w:ascii="Verdana" w:hAnsi="Verdana"/>
          <w:b/>
          <w:sz w:val="20"/>
          <w:szCs w:val="20"/>
          <w:lang w:val="bg-BG"/>
        </w:rPr>
        <w:t>съпътстващи мерки</w:t>
      </w:r>
      <w:r>
        <w:rPr>
          <w:rFonts w:ascii="Verdana" w:hAnsi="Verdana"/>
          <w:b/>
          <w:sz w:val="20"/>
          <w:szCs w:val="20"/>
          <w:lang w:val="bg-BG"/>
        </w:rPr>
        <w:t>.</w:t>
      </w:r>
    </w:p>
    <w:p w:rsidR="007D508E" w:rsidRPr="007D508E" w:rsidRDefault="007D508E" w:rsidP="00092E18">
      <w:pPr>
        <w:shd w:val="clear" w:color="auto" w:fill="FFFFFF"/>
        <w:spacing w:before="120" w:after="120" w:line="360" w:lineRule="auto"/>
        <w:ind w:right="7"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7D508E">
        <w:rPr>
          <w:rFonts w:ascii="Verdana" w:eastAsia="Times New Roman" w:hAnsi="Verdana" w:cs="Times New Roman"/>
          <w:sz w:val="20"/>
          <w:szCs w:val="20"/>
          <w:lang w:val="bg-BG"/>
        </w:rPr>
        <w:t xml:space="preserve">Планирането и предоставянето на съпътстващи мерки се основава на извършен анализ и установени специфични потребности за всеки отделен потребител, което е основа за планирането им в индивидуален или групов формат. </w:t>
      </w:r>
    </w:p>
    <w:p w:rsidR="00ED1D45" w:rsidRPr="007D508E" w:rsidRDefault="00400871" w:rsidP="00092E18">
      <w:pPr>
        <w:pStyle w:val="NormalWeb"/>
        <w:kinsoku w:val="0"/>
        <w:overflowPunct w:val="0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7D508E">
        <w:rPr>
          <w:rFonts w:ascii="Verdana" w:hAnsi="Verdana"/>
          <w:sz w:val="20"/>
          <w:szCs w:val="20"/>
          <w:lang w:val="bg-BG"/>
        </w:rPr>
        <w:t>Предоставянето на изброените по-долу видове съпътстващи мерки е в зависимост от конкретните нужди на потребителите</w:t>
      </w:r>
      <w:r w:rsidR="00ED1D45" w:rsidRPr="007D508E">
        <w:rPr>
          <w:rFonts w:ascii="Verdana" w:hAnsi="Verdana"/>
          <w:sz w:val="20"/>
          <w:szCs w:val="20"/>
          <w:lang w:val="bg-BG"/>
        </w:rPr>
        <w:t>, към които са насочени. Те могат да бъдат групирани в следните основни видове:</w:t>
      </w:r>
    </w:p>
    <w:p w:rsidR="00400871" w:rsidRPr="007D508E" w:rsidRDefault="00400871" w:rsidP="00092E18">
      <w:pPr>
        <w:pStyle w:val="NormalWeb"/>
        <w:kinsoku w:val="0"/>
        <w:overflowPunct w:val="0"/>
        <w:spacing w:before="0" w:beforeAutospacing="0" w:after="0" w:afterAutospacing="0" w:line="360" w:lineRule="auto"/>
        <w:ind w:left="360" w:hanging="360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</w:p>
    <w:p w:rsidR="00400871" w:rsidRPr="00400871" w:rsidRDefault="00400871" w:rsidP="00092E18">
      <w:pPr>
        <w:pStyle w:val="NormalWeb"/>
        <w:numPr>
          <w:ilvl w:val="1"/>
          <w:numId w:val="34"/>
        </w:numPr>
        <w:kinsoku w:val="0"/>
        <w:overflowPunct w:val="0"/>
        <w:spacing w:before="0" w:beforeAutospacing="0" w:after="0" w:afterAutospacing="0" w:line="360" w:lineRule="auto"/>
        <w:ind w:left="0" w:firstLine="426"/>
        <w:jc w:val="both"/>
        <w:textAlignment w:val="baseline"/>
        <w:rPr>
          <w:rFonts w:ascii="Verdana" w:hAnsi="Verdana"/>
          <w:sz w:val="20"/>
          <w:szCs w:val="20"/>
        </w:rPr>
      </w:pPr>
      <w:r w:rsidRPr="00400871">
        <w:rPr>
          <w:rFonts w:ascii="Verdana" w:eastAsiaTheme="minorEastAsia" w:hAnsi="Verdana" w:cstheme="minorBidi"/>
          <w:color w:val="000000" w:themeColor="text1"/>
          <w:kern w:val="24"/>
          <w:sz w:val="20"/>
          <w:szCs w:val="20"/>
          <w:lang w:val="bg-BG"/>
        </w:rPr>
        <w:t>основни социални консултантски услуги;</w:t>
      </w:r>
    </w:p>
    <w:p w:rsidR="00400871" w:rsidRPr="00400871" w:rsidRDefault="00400871" w:rsidP="00092E18">
      <w:pPr>
        <w:pStyle w:val="NormalWeb"/>
        <w:numPr>
          <w:ilvl w:val="1"/>
          <w:numId w:val="34"/>
        </w:numPr>
        <w:kinsoku w:val="0"/>
        <w:overflowPunct w:val="0"/>
        <w:spacing w:before="0" w:beforeAutospacing="0" w:after="0" w:afterAutospacing="0" w:line="360" w:lineRule="auto"/>
        <w:ind w:left="0" w:firstLine="426"/>
        <w:jc w:val="both"/>
        <w:textAlignment w:val="baseline"/>
        <w:rPr>
          <w:rFonts w:ascii="Verdana" w:hAnsi="Verdana"/>
          <w:sz w:val="20"/>
          <w:szCs w:val="20"/>
        </w:rPr>
      </w:pPr>
      <w:r w:rsidRPr="00400871">
        <w:rPr>
          <w:rFonts w:ascii="Verdana" w:eastAsiaTheme="minorEastAsia" w:hAnsi="Verdana" w:cstheme="minorBidi"/>
          <w:color w:val="000000" w:themeColor="text1"/>
          <w:kern w:val="24"/>
          <w:sz w:val="20"/>
          <w:szCs w:val="20"/>
          <w:lang w:val="bg-BG"/>
        </w:rPr>
        <w:t>дейности за подпомагане на утвърждаването на правата, законните интереси и обработването на лични дела или посредничество;</w:t>
      </w:r>
    </w:p>
    <w:p w:rsidR="00400871" w:rsidRPr="00287061" w:rsidRDefault="00400871" w:rsidP="00092E18">
      <w:pPr>
        <w:pStyle w:val="NormalWeb"/>
        <w:numPr>
          <w:ilvl w:val="1"/>
          <w:numId w:val="34"/>
        </w:numPr>
        <w:kinsoku w:val="0"/>
        <w:overflowPunct w:val="0"/>
        <w:spacing w:before="0" w:beforeAutospacing="0" w:after="0" w:afterAutospacing="0" w:line="360" w:lineRule="auto"/>
        <w:ind w:left="0" w:firstLine="426"/>
        <w:jc w:val="both"/>
        <w:textAlignment w:val="baseline"/>
        <w:rPr>
          <w:rFonts w:ascii="Verdana" w:hAnsi="Verdana"/>
          <w:sz w:val="20"/>
          <w:szCs w:val="20"/>
        </w:rPr>
      </w:pPr>
      <w:r w:rsidRPr="00400871">
        <w:rPr>
          <w:rFonts w:ascii="Verdana" w:eastAsiaTheme="minorEastAsia" w:hAnsi="Verdana" w:cstheme="minorBidi"/>
          <w:color w:val="000000" w:themeColor="text1"/>
          <w:kern w:val="24"/>
          <w:sz w:val="20"/>
          <w:szCs w:val="20"/>
          <w:lang w:val="bg-BG"/>
        </w:rPr>
        <w:t>дейности, предотвратяващи кризисни ситуации и социално изключване и насочени към премахването на отрицателни социални въздействия.</w:t>
      </w:r>
    </w:p>
    <w:p w:rsidR="00287061" w:rsidRPr="00287061" w:rsidRDefault="00287061" w:rsidP="00092E18">
      <w:pPr>
        <w:pStyle w:val="NormalWeb"/>
        <w:kinsoku w:val="0"/>
        <w:overflowPunct w:val="0"/>
        <w:spacing w:before="0" w:beforeAutospacing="0" w:after="0" w:afterAutospacing="0" w:line="360" w:lineRule="auto"/>
        <w:ind w:left="426" w:hanging="360"/>
        <w:jc w:val="both"/>
        <w:textAlignment w:val="baseline"/>
        <w:rPr>
          <w:rFonts w:ascii="Verdana" w:hAnsi="Verdana"/>
          <w:sz w:val="20"/>
          <w:szCs w:val="20"/>
        </w:rPr>
      </w:pPr>
    </w:p>
    <w:p w:rsidR="00287061" w:rsidRPr="00287061" w:rsidRDefault="00287061" w:rsidP="00287061">
      <w:pPr>
        <w:numPr>
          <w:ilvl w:val="0"/>
          <w:numId w:val="11"/>
        </w:numPr>
        <w:kinsoku w:val="0"/>
        <w:overflowPunct w:val="0"/>
        <w:spacing w:after="0" w:line="360" w:lineRule="auto"/>
        <w:ind w:left="0" w:firstLine="0"/>
        <w:contextualSpacing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287061">
        <w:rPr>
          <w:rFonts w:ascii="Verdana" w:eastAsiaTheme="minorEastAsia" w:hAnsi="Verdana"/>
          <w:b/>
          <w:bCs/>
          <w:color w:val="000000" w:themeColor="text1"/>
          <w:kern w:val="24"/>
          <w:sz w:val="20"/>
          <w:szCs w:val="20"/>
          <w:lang w:val="bg-BG"/>
        </w:rPr>
        <w:t>Съпътстващите мерки могат да са под формата на следните видове дейности:</w:t>
      </w:r>
    </w:p>
    <w:p w:rsidR="00287061" w:rsidRPr="00287061" w:rsidRDefault="00287061" w:rsidP="00287061">
      <w:pPr>
        <w:numPr>
          <w:ilvl w:val="0"/>
          <w:numId w:val="12"/>
        </w:numPr>
        <w:kinsoku w:val="0"/>
        <w:overflowPunct w:val="0"/>
        <w:spacing w:after="0" w:line="360" w:lineRule="auto"/>
        <w:ind w:left="0" w:firstLine="426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287061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Индивидуално и/или групово консултиране/насочване за предоставяне на социални помощи;</w:t>
      </w:r>
    </w:p>
    <w:p w:rsidR="00287061" w:rsidRPr="00287061" w:rsidRDefault="00287061" w:rsidP="00287061">
      <w:pPr>
        <w:numPr>
          <w:ilvl w:val="0"/>
          <w:numId w:val="12"/>
        </w:numPr>
        <w:kinsoku w:val="0"/>
        <w:overflowPunct w:val="0"/>
        <w:spacing w:after="0" w:line="360" w:lineRule="auto"/>
        <w:ind w:left="0" w:firstLine="426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287061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Индивидуално и/или групово консултиране/насочване за предоставяне на социални услуги; </w:t>
      </w:r>
    </w:p>
    <w:p w:rsidR="00287061" w:rsidRPr="00287061" w:rsidRDefault="00287061" w:rsidP="00287061">
      <w:pPr>
        <w:numPr>
          <w:ilvl w:val="0"/>
          <w:numId w:val="12"/>
        </w:numPr>
        <w:kinsoku w:val="0"/>
        <w:overflowPunct w:val="0"/>
        <w:spacing w:after="0" w:line="360" w:lineRule="auto"/>
        <w:ind w:left="0" w:firstLine="426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287061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Оказване на съдействие за ползване на здравни и образователни услуги;</w:t>
      </w:r>
    </w:p>
    <w:p w:rsidR="00287061" w:rsidRPr="00287061" w:rsidRDefault="00287061" w:rsidP="00287061">
      <w:pPr>
        <w:numPr>
          <w:ilvl w:val="0"/>
          <w:numId w:val="12"/>
        </w:numPr>
        <w:kinsoku w:val="0"/>
        <w:overflowPunct w:val="0"/>
        <w:spacing w:after="0" w:line="360" w:lineRule="auto"/>
        <w:ind w:left="0" w:firstLine="426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287061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Оказване на индивидуална подкрепа, в съответствие с индивидуални нужди и проблеми на конкретни представители на целевите групи;</w:t>
      </w:r>
    </w:p>
    <w:p w:rsidR="00287061" w:rsidRPr="00287061" w:rsidRDefault="00287061" w:rsidP="00287061">
      <w:pPr>
        <w:numPr>
          <w:ilvl w:val="0"/>
          <w:numId w:val="12"/>
        </w:numPr>
        <w:kinsoku w:val="0"/>
        <w:overflowPunct w:val="0"/>
        <w:spacing w:after="0" w:line="360" w:lineRule="auto"/>
        <w:ind w:left="0" w:firstLine="426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287061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Дейности за повишаване на осведомеността, като разработване и/или разпространение на целенасочени рекламни и информационни материали и кампании, състезания и др.;</w:t>
      </w:r>
    </w:p>
    <w:p w:rsidR="00454FE8" w:rsidRPr="00454FE8" w:rsidRDefault="00287061" w:rsidP="00287061">
      <w:pPr>
        <w:numPr>
          <w:ilvl w:val="0"/>
          <w:numId w:val="12"/>
        </w:numPr>
        <w:kinsoku w:val="0"/>
        <w:overflowPunct w:val="0"/>
        <w:spacing w:after="0" w:line="360" w:lineRule="auto"/>
        <w:ind w:left="0" w:firstLine="426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287061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Провеждане на беседи на различни теми за подкрепа на потребителите;</w:t>
      </w:r>
    </w:p>
    <w:p w:rsidR="00454FE8" w:rsidRPr="00454FE8" w:rsidRDefault="00454FE8" w:rsidP="0099080A">
      <w:pPr>
        <w:numPr>
          <w:ilvl w:val="0"/>
          <w:numId w:val="14"/>
        </w:numPr>
        <w:kinsoku w:val="0"/>
        <w:overflowPunct w:val="0"/>
        <w:spacing w:after="0" w:line="360" w:lineRule="auto"/>
        <w:ind w:left="0" w:firstLine="426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454FE8">
        <w:rPr>
          <w:rFonts w:ascii="Verdana" w:eastAsiaTheme="minorEastAsia" w:hAnsi="Verdana"/>
          <w:b/>
          <w:bCs/>
          <w:color w:val="000000" w:themeColor="text1"/>
          <w:kern w:val="24"/>
          <w:sz w:val="20"/>
          <w:szCs w:val="20"/>
          <w:lang w:val="bg-BG"/>
        </w:rPr>
        <w:t>Мотивационна подкрепа</w:t>
      </w:r>
      <w:r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-</w:t>
      </w:r>
      <w:r w:rsidRPr="00454FE8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насочена към лица, които са се самоизолирали от социалния живот, или които вследствие на заболяване са изгубили смисъл и желание за живот и други;</w:t>
      </w:r>
    </w:p>
    <w:p w:rsidR="00454FE8" w:rsidRPr="00454FE8" w:rsidRDefault="00454FE8" w:rsidP="0099080A">
      <w:pPr>
        <w:numPr>
          <w:ilvl w:val="0"/>
          <w:numId w:val="14"/>
        </w:numPr>
        <w:kinsoku w:val="0"/>
        <w:overflowPunct w:val="0"/>
        <w:spacing w:after="0" w:line="360" w:lineRule="auto"/>
        <w:ind w:left="0" w:firstLine="426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454FE8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</w:t>
      </w:r>
      <w:r w:rsidRPr="00454FE8">
        <w:rPr>
          <w:rFonts w:ascii="Verdana" w:eastAsiaTheme="minorEastAsia" w:hAnsi="Verdana"/>
          <w:b/>
          <w:bCs/>
          <w:color w:val="000000" w:themeColor="text1"/>
          <w:kern w:val="24"/>
          <w:sz w:val="20"/>
          <w:szCs w:val="20"/>
          <w:lang w:val="bg-BG"/>
        </w:rPr>
        <w:t>Подкрепата за социално включване</w:t>
      </w:r>
      <w:r w:rsidRPr="00454FE8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, която се  осъществява чрез осигурена възможност потребителите да посещават индивидуално</w:t>
      </w:r>
      <w:r w:rsidR="00CE0B22">
        <w:rPr>
          <w:rFonts w:ascii="Verdana" w:eastAsiaTheme="minorEastAsia" w:hAnsi="Verdana"/>
          <w:color w:val="000000" w:themeColor="text1"/>
          <w:kern w:val="24"/>
          <w:sz w:val="20"/>
          <w:szCs w:val="20"/>
        </w:rPr>
        <w:t>,</w:t>
      </w:r>
      <w:r w:rsidRPr="00454FE8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различни културни мероприятия, съдействие и придружаване за ползването на административни общински услуги и за подпомагане на достъпа до здравни услуги и социални помощи;</w:t>
      </w:r>
    </w:p>
    <w:p w:rsidR="00454FE8" w:rsidRDefault="00454FE8" w:rsidP="00454FE8">
      <w:pPr>
        <w:kinsoku w:val="0"/>
        <w:overflowPunct w:val="0"/>
        <w:spacing w:after="0" w:line="360" w:lineRule="auto"/>
        <w:ind w:left="720"/>
        <w:contextualSpacing/>
        <w:jc w:val="both"/>
        <w:textAlignment w:val="baseline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</w:p>
    <w:p w:rsidR="00454FE8" w:rsidRDefault="00287061" w:rsidP="00320DC5">
      <w:pPr>
        <w:kinsoku w:val="0"/>
        <w:overflowPunct w:val="0"/>
        <w:ind w:firstLine="720"/>
        <w:jc w:val="both"/>
        <w:textAlignment w:val="baseline"/>
        <w:rPr>
          <w:rFonts w:ascii="Verdana" w:eastAsiaTheme="minorEastAsia" w:hAnsi="Verdana"/>
          <w:b/>
          <w:i/>
          <w:color w:val="000000" w:themeColor="text1"/>
          <w:kern w:val="24"/>
          <w:sz w:val="20"/>
          <w:szCs w:val="20"/>
          <w:u w:val="single"/>
          <w:lang w:val="bg-BG"/>
        </w:rPr>
      </w:pPr>
      <w:r w:rsidRPr="00454FE8">
        <w:rPr>
          <w:rFonts w:ascii="Verdana" w:eastAsiaTheme="minorEastAsia" w:hAnsi="Verdana"/>
          <w:b/>
          <w:i/>
          <w:color w:val="000000" w:themeColor="text1"/>
          <w:kern w:val="24"/>
          <w:sz w:val="20"/>
          <w:szCs w:val="20"/>
          <w:u w:val="single"/>
          <w:lang w:val="bg-BG"/>
        </w:rPr>
        <w:t xml:space="preserve"> </w:t>
      </w:r>
      <w:r w:rsidR="00454FE8" w:rsidRPr="00454FE8">
        <w:rPr>
          <w:rFonts w:ascii="Verdana" w:eastAsiaTheme="minorEastAsia" w:hAnsi="Verdana"/>
          <w:b/>
          <w:i/>
          <w:color w:val="000000" w:themeColor="text1"/>
          <w:kern w:val="24"/>
          <w:sz w:val="20"/>
          <w:szCs w:val="20"/>
          <w:u w:val="single"/>
          <w:lang w:val="bg-BG"/>
        </w:rPr>
        <w:t xml:space="preserve">За специфични проблеми, идентифицирани за конкретни потребители на всяко ниво или етап на консултация, когато се установи конкретна необходимост, която може да бъде решена от програмите, изпълнявани в рамките на </w:t>
      </w:r>
      <w:r w:rsidR="00454FE8" w:rsidRPr="00454FE8">
        <w:rPr>
          <w:rFonts w:ascii="Verdana" w:eastAsiaTheme="minorEastAsia" w:hAnsi="Verdana"/>
          <w:b/>
          <w:bCs/>
          <w:i/>
          <w:color w:val="000000" w:themeColor="text1"/>
          <w:kern w:val="24"/>
          <w:sz w:val="20"/>
          <w:szCs w:val="20"/>
          <w:u w:val="single"/>
          <w:lang w:val="bg-BG"/>
        </w:rPr>
        <w:t>Европейския социален фонд</w:t>
      </w:r>
      <w:r w:rsidR="00454FE8" w:rsidRPr="00454FE8">
        <w:rPr>
          <w:rFonts w:ascii="Verdana" w:eastAsiaTheme="minorEastAsia" w:hAnsi="Verdana"/>
          <w:b/>
          <w:i/>
          <w:color w:val="000000" w:themeColor="text1"/>
          <w:kern w:val="24"/>
          <w:sz w:val="20"/>
          <w:szCs w:val="20"/>
          <w:u w:val="single"/>
          <w:lang w:val="bg-BG"/>
        </w:rPr>
        <w:t>, потребителят се насочва към съответната програма.</w:t>
      </w:r>
    </w:p>
    <w:p w:rsidR="000B76C6" w:rsidRDefault="000B76C6" w:rsidP="00320DC5">
      <w:pPr>
        <w:kinsoku w:val="0"/>
        <w:overflowPunct w:val="0"/>
        <w:ind w:firstLine="720"/>
        <w:jc w:val="both"/>
        <w:textAlignment w:val="baseline"/>
        <w:rPr>
          <w:rFonts w:ascii="Verdana" w:eastAsiaTheme="minorEastAsia" w:hAnsi="Verdana"/>
          <w:b/>
          <w:i/>
          <w:color w:val="000000" w:themeColor="text1"/>
          <w:kern w:val="24"/>
          <w:sz w:val="20"/>
          <w:szCs w:val="20"/>
          <w:u w:val="single"/>
          <w:lang w:val="bg-BG"/>
        </w:rPr>
      </w:pPr>
    </w:p>
    <w:p w:rsidR="000B76C6" w:rsidRPr="00454FE8" w:rsidRDefault="000B76C6" w:rsidP="00320DC5">
      <w:pPr>
        <w:kinsoku w:val="0"/>
        <w:overflowPunct w:val="0"/>
        <w:ind w:firstLine="720"/>
        <w:jc w:val="both"/>
        <w:textAlignment w:val="baseline"/>
        <w:rPr>
          <w:rFonts w:ascii="Verdana" w:hAnsi="Verdana"/>
          <w:b/>
          <w:i/>
          <w:sz w:val="20"/>
          <w:szCs w:val="20"/>
          <w:u w:val="single"/>
        </w:rPr>
      </w:pPr>
    </w:p>
    <w:p w:rsidR="00533663" w:rsidRDefault="00533663" w:rsidP="002D2216">
      <w:pPr>
        <w:pStyle w:val="NormalWeb"/>
        <w:spacing w:before="0" w:beforeAutospacing="0" w:after="0" w:afterAutospacing="0" w:line="360" w:lineRule="auto"/>
        <w:textAlignment w:val="baseline"/>
        <w:rPr>
          <w:rFonts w:ascii="Verdana" w:hAnsi="Verdana"/>
          <w:b/>
          <w:bCs/>
          <w:sz w:val="20"/>
          <w:szCs w:val="20"/>
        </w:rPr>
      </w:pPr>
    </w:p>
    <w:p w:rsidR="00230455" w:rsidRPr="002D2216" w:rsidRDefault="004C2E5D" w:rsidP="00A2201C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Verdana" w:eastAsiaTheme="minorEastAsia" w:hAnsi="Verdana"/>
          <w:b/>
          <w:bCs/>
          <w:kern w:val="24"/>
          <w:sz w:val="20"/>
          <w:szCs w:val="20"/>
          <w:lang w:val="bg-BG"/>
          <w14:shadow w14:blurRad="38100" w14:dist="38100" w14:dir="2700000" w14:sx="100000" w14:sy="100000" w14:kx="0" w14:ky="0" w14:algn="tl">
            <w14:srgbClr w14:val="C0C0C0"/>
          </w14:shadow>
        </w:rPr>
      </w:pPr>
      <w:bookmarkStart w:id="0" w:name="_GoBack"/>
      <w:bookmarkEnd w:id="0"/>
      <w:r w:rsidRPr="002D2216">
        <w:rPr>
          <w:rFonts w:ascii="Verdana" w:hAnsi="Verdana"/>
          <w:b/>
          <w:bCs/>
          <w:sz w:val="20"/>
          <w:szCs w:val="20"/>
        </w:rPr>
        <w:lastRenderedPageBreak/>
        <w:t>IV.</w:t>
      </w:r>
      <w:r w:rsidR="00230455" w:rsidRPr="002D2216">
        <w:rPr>
          <w:rFonts w:ascii="Verdana" w:eastAsiaTheme="minorEastAsia" w:hAnsi="Verdana"/>
          <w:b/>
          <w:bCs/>
          <w:shadow/>
          <w:kern w:val="24"/>
          <w:sz w:val="20"/>
          <w:szCs w:val="20"/>
          <w:lang w:val="bg-BG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="00230455" w:rsidRPr="002D2216">
        <w:rPr>
          <w:rFonts w:ascii="Verdana" w:eastAsiaTheme="minorEastAsia" w:hAnsi="Verdana"/>
          <w:b/>
          <w:bCs/>
          <w:kern w:val="24"/>
          <w:sz w:val="20"/>
          <w:szCs w:val="20"/>
          <w:lang w:val="bg-BG"/>
          <w14:shadow w14:blurRad="38100" w14:dist="38100" w14:dir="2700000" w14:sx="100000" w14:sy="100000" w14:kx="0" w14:ky="0" w14:algn="tl">
            <w14:srgbClr w14:val="C0C0C0"/>
          </w14:shadow>
        </w:rPr>
        <w:t>Добри практики при осъществяване на съпътстващи мерки по Операция тип 3 „Осигуряване на топъл обяд 2016-2019</w:t>
      </w:r>
      <w:proofErr w:type="gramStart"/>
      <w:r w:rsidR="00230455" w:rsidRPr="002D2216">
        <w:rPr>
          <w:rFonts w:ascii="Verdana" w:eastAsiaTheme="minorEastAsia" w:hAnsi="Verdana"/>
          <w:b/>
          <w:bCs/>
          <w:kern w:val="24"/>
          <w:sz w:val="20"/>
          <w:szCs w:val="20"/>
          <w:lang w:val="bg-BG"/>
          <w14:shadow w14:blurRad="38100" w14:dist="38100" w14:dir="2700000" w14:sx="100000" w14:sy="100000" w14:kx="0" w14:ky="0" w14:algn="tl">
            <w14:srgbClr w14:val="C0C0C0"/>
          </w14:shadow>
        </w:rPr>
        <w:t>“ на</w:t>
      </w:r>
      <w:proofErr w:type="gramEnd"/>
      <w:r w:rsidR="00230455" w:rsidRPr="002D2216">
        <w:rPr>
          <w:rFonts w:ascii="Verdana" w:eastAsiaTheme="minorEastAsia" w:hAnsi="Verdana"/>
          <w:b/>
          <w:bCs/>
          <w:kern w:val="24"/>
          <w:sz w:val="20"/>
          <w:szCs w:val="20"/>
          <w:lang w:val="bg-BG"/>
          <w14:shadow w14:blurRad="38100" w14:dist="38100" w14:dir="2700000" w14:sx="100000" w14:sy="100000" w14:kx="0" w14:ky="0" w14:algn="tl">
            <w14:srgbClr w14:val="C0C0C0"/>
          </w14:shadow>
        </w:rPr>
        <w:t xml:space="preserve"> ОПХ ФЕПНЛ:</w:t>
      </w:r>
    </w:p>
    <w:p w:rsidR="00230455" w:rsidRPr="002D2216" w:rsidRDefault="00230455" w:rsidP="002D2216">
      <w:pPr>
        <w:pStyle w:val="NormalWeb"/>
        <w:numPr>
          <w:ilvl w:val="0"/>
          <w:numId w:val="22"/>
        </w:numPr>
        <w:kinsoku w:val="0"/>
        <w:overflowPunct w:val="0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="Verdana" w:eastAsiaTheme="minorEastAsia" w:hAnsi="Verdana" w:cstheme="minorBidi"/>
          <w:color w:val="000000" w:themeColor="text1"/>
          <w:kern w:val="24"/>
          <w:sz w:val="20"/>
          <w:szCs w:val="20"/>
          <w:lang w:val="bg-BG"/>
        </w:rPr>
      </w:pPr>
      <w:r w:rsidRPr="002D2216">
        <w:rPr>
          <w:rFonts w:ascii="Verdana" w:eastAsiaTheme="minorEastAsia" w:hAnsi="Verdana" w:cstheme="minorBidi"/>
          <w:color w:val="000000" w:themeColor="text1"/>
          <w:kern w:val="24"/>
          <w:sz w:val="20"/>
          <w:szCs w:val="20"/>
          <w:lang w:val="bg-BG"/>
        </w:rPr>
        <w:t>В районите на малцинствени групи с предимно ромско население местни лидери и специалисти в етническата интеграция и етнически посредници от общинската администрация се включват в процеса на популяризиране и насочване на нуждаещите се;</w:t>
      </w:r>
    </w:p>
    <w:p w:rsidR="00230455" w:rsidRPr="002D2216" w:rsidRDefault="00230455" w:rsidP="002D2216">
      <w:pPr>
        <w:pStyle w:val="NormalWeb"/>
        <w:numPr>
          <w:ilvl w:val="0"/>
          <w:numId w:val="22"/>
        </w:numPr>
        <w:kinsoku w:val="0"/>
        <w:overflowPunct w:val="0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="Verdana" w:hAnsi="Verdana"/>
          <w:sz w:val="20"/>
          <w:szCs w:val="20"/>
        </w:rPr>
      </w:pPr>
      <w:r w:rsidRPr="002D2216">
        <w:rPr>
          <w:rFonts w:ascii="Verdana" w:eastAsiaTheme="minorEastAsia" w:hAnsi="Verdana" w:cstheme="minorBidi"/>
          <w:color w:val="000000" w:themeColor="text1"/>
          <w:kern w:val="24"/>
          <w:sz w:val="20"/>
          <w:szCs w:val="20"/>
          <w:lang w:val="bg-BG"/>
        </w:rPr>
        <w:t>Потребителите от маргинализираните групи, на които се отпускат месечни помощи, са безработни и се насочват към бюрата по труда за консултиране при наемане на работа;</w:t>
      </w:r>
    </w:p>
    <w:p w:rsidR="00230455" w:rsidRPr="002D2216" w:rsidRDefault="00230455" w:rsidP="002D2216">
      <w:pPr>
        <w:pStyle w:val="NormalWeb"/>
        <w:numPr>
          <w:ilvl w:val="0"/>
          <w:numId w:val="22"/>
        </w:numPr>
        <w:spacing w:line="360" w:lineRule="auto"/>
        <w:ind w:left="0" w:firstLine="0"/>
        <w:rPr>
          <w:rFonts w:ascii="Verdana" w:hAnsi="Verdana"/>
          <w:sz w:val="20"/>
          <w:szCs w:val="20"/>
        </w:rPr>
      </w:pPr>
      <w:r w:rsidRPr="002D2216">
        <w:rPr>
          <w:rFonts w:ascii="Verdana" w:hAnsi="Verdana"/>
          <w:sz w:val="20"/>
          <w:szCs w:val="20"/>
          <w:lang w:val="bg-BG"/>
        </w:rPr>
        <w:t>В една от общините – партньорски организации по Схемата</w:t>
      </w:r>
      <w:r w:rsidR="00A2201C">
        <w:rPr>
          <w:rFonts w:ascii="Verdana" w:hAnsi="Verdana"/>
          <w:sz w:val="20"/>
          <w:szCs w:val="20"/>
        </w:rPr>
        <w:t>,</w:t>
      </w:r>
      <w:r w:rsidR="00A2201C">
        <w:rPr>
          <w:rFonts w:ascii="Verdana" w:hAnsi="Verdana"/>
          <w:sz w:val="20"/>
          <w:szCs w:val="20"/>
          <w:lang w:val="bg-BG"/>
        </w:rPr>
        <w:t xml:space="preserve"> местните</w:t>
      </w:r>
      <w:r w:rsidRPr="002D2216">
        <w:rPr>
          <w:rFonts w:ascii="Verdana" w:hAnsi="Verdana"/>
          <w:sz w:val="20"/>
          <w:szCs w:val="20"/>
          <w:lang w:val="bg-BG"/>
        </w:rPr>
        <w:t xml:space="preserve"> власти са установили спад в статистиката за дребната престъпност след началото на предоставянето на услугата „топъл“ обяд, както и повишаване на посещаемостта на деца от малцинствени групи в училище; </w:t>
      </w:r>
    </w:p>
    <w:p w:rsidR="00230455" w:rsidRPr="002D2216" w:rsidRDefault="00230455" w:rsidP="00A2201C">
      <w:pPr>
        <w:pStyle w:val="NormalWeb"/>
        <w:numPr>
          <w:ilvl w:val="0"/>
          <w:numId w:val="22"/>
        </w:numPr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2D2216">
        <w:rPr>
          <w:rFonts w:ascii="Verdana" w:hAnsi="Verdana"/>
          <w:sz w:val="20"/>
          <w:szCs w:val="20"/>
          <w:lang w:val="bg-BG"/>
        </w:rPr>
        <w:t>Периодични посещения като част от съпътстващите мерки от здравен медиатор, който помага при оценка на здравословното състояние на потребителите и им предоставя здравни съвети и насочване към медицински специалисти при необходимост;</w:t>
      </w:r>
    </w:p>
    <w:p w:rsidR="00230455" w:rsidRPr="002D2216" w:rsidRDefault="00230455" w:rsidP="00A2201C">
      <w:pPr>
        <w:pStyle w:val="NormalWeb"/>
        <w:numPr>
          <w:ilvl w:val="0"/>
          <w:numId w:val="22"/>
        </w:numPr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2D2216">
        <w:rPr>
          <w:rFonts w:ascii="Verdana" w:hAnsi="Verdana"/>
          <w:sz w:val="20"/>
          <w:szCs w:val="20"/>
          <w:lang w:val="bg-BG"/>
        </w:rPr>
        <w:t>Осигуряване на подкрепа при изготвяне на нови документи за самоличност в т.ч. и на</w:t>
      </w:r>
      <w:r w:rsidRPr="002D2216">
        <w:rPr>
          <w:rFonts w:ascii="Verdana" w:hAnsi="Verdana"/>
          <w:sz w:val="20"/>
          <w:szCs w:val="20"/>
        </w:rPr>
        <w:t xml:space="preserve"> </w:t>
      </w:r>
      <w:r w:rsidRPr="002D2216">
        <w:rPr>
          <w:rFonts w:ascii="Verdana" w:hAnsi="Verdana"/>
          <w:sz w:val="20"/>
          <w:szCs w:val="20"/>
          <w:lang w:val="bg-BG"/>
        </w:rPr>
        <w:t>бездомни лица, може да се предостави информация за използването на личните карти и</w:t>
      </w:r>
      <w:r w:rsidRPr="002D2216">
        <w:rPr>
          <w:rFonts w:ascii="Verdana" w:hAnsi="Verdana"/>
          <w:sz w:val="20"/>
          <w:szCs w:val="20"/>
        </w:rPr>
        <w:t xml:space="preserve"> </w:t>
      </w:r>
      <w:r w:rsidRPr="002D2216">
        <w:rPr>
          <w:rFonts w:ascii="Verdana" w:hAnsi="Verdana"/>
          <w:sz w:val="20"/>
          <w:szCs w:val="20"/>
          <w:lang w:val="bg-BG"/>
        </w:rPr>
        <w:t>начините за злоупотреба с лични данни;</w:t>
      </w:r>
    </w:p>
    <w:p w:rsidR="00230455" w:rsidRPr="002D2216" w:rsidRDefault="00230455" w:rsidP="002D2216">
      <w:pPr>
        <w:pStyle w:val="NormalWeb"/>
        <w:numPr>
          <w:ilvl w:val="0"/>
          <w:numId w:val="22"/>
        </w:numPr>
        <w:spacing w:line="360" w:lineRule="auto"/>
        <w:ind w:left="0" w:firstLine="0"/>
        <w:rPr>
          <w:rFonts w:ascii="Verdana" w:hAnsi="Verdana"/>
          <w:sz w:val="20"/>
          <w:szCs w:val="20"/>
        </w:rPr>
      </w:pPr>
      <w:r w:rsidRPr="002D2216">
        <w:rPr>
          <w:rFonts w:ascii="Verdana" w:hAnsi="Verdana"/>
          <w:sz w:val="20"/>
          <w:szCs w:val="20"/>
          <w:lang w:val="bg-BG"/>
        </w:rPr>
        <w:t>Настаняване на бездомни лица в Център за временно настаняване;</w:t>
      </w:r>
    </w:p>
    <w:p w:rsidR="00230455" w:rsidRPr="002D2216" w:rsidRDefault="00230455" w:rsidP="002D2216">
      <w:pPr>
        <w:pStyle w:val="NormalWeb"/>
        <w:numPr>
          <w:ilvl w:val="0"/>
          <w:numId w:val="22"/>
        </w:numPr>
        <w:spacing w:line="360" w:lineRule="auto"/>
        <w:ind w:left="0" w:firstLine="0"/>
        <w:rPr>
          <w:rFonts w:ascii="Verdana" w:hAnsi="Verdana"/>
          <w:sz w:val="20"/>
          <w:szCs w:val="20"/>
        </w:rPr>
      </w:pPr>
      <w:r w:rsidRPr="002D2216">
        <w:rPr>
          <w:rFonts w:ascii="Verdana" w:hAnsi="Verdana"/>
          <w:sz w:val="20"/>
          <w:szCs w:val="20"/>
          <w:lang w:val="bg-BG"/>
        </w:rPr>
        <w:t>Консултиране и индивидуална подкрепа при опасност от отпадане от училище на деца или необходимост за повишаване на образованието;</w:t>
      </w:r>
    </w:p>
    <w:p w:rsidR="00230455" w:rsidRPr="002D2216" w:rsidRDefault="00230455" w:rsidP="002D2216">
      <w:pPr>
        <w:pStyle w:val="NormalWeb"/>
        <w:numPr>
          <w:ilvl w:val="0"/>
          <w:numId w:val="22"/>
        </w:numPr>
        <w:spacing w:line="360" w:lineRule="auto"/>
        <w:ind w:left="0" w:firstLine="0"/>
        <w:rPr>
          <w:rFonts w:ascii="Verdana" w:hAnsi="Verdana"/>
          <w:sz w:val="20"/>
          <w:szCs w:val="20"/>
        </w:rPr>
      </w:pPr>
      <w:r w:rsidRPr="002D2216">
        <w:rPr>
          <w:rFonts w:ascii="Verdana" w:hAnsi="Verdana"/>
          <w:sz w:val="20"/>
          <w:szCs w:val="20"/>
        </w:rPr>
        <w:t>К</w:t>
      </w:r>
      <w:r w:rsidRPr="002D2216">
        <w:rPr>
          <w:rFonts w:ascii="Verdana" w:hAnsi="Verdana"/>
          <w:sz w:val="20"/>
          <w:szCs w:val="20"/>
          <w:lang w:val="bg-BG"/>
        </w:rPr>
        <w:t>онсултации на тема „Общопрактикуващ /личен/ лекар – правила за избор и смяна“</w:t>
      </w:r>
      <w:r w:rsidRPr="002D2216">
        <w:rPr>
          <w:rFonts w:ascii="Verdana" w:hAnsi="Verdana"/>
          <w:sz w:val="20"/>
          <w:szCs w:val="20"/>
        </w:rPr>
        <w:t>;</w:t>
      </w:r>
    </w:p>
    <w:p w:rsidR="00230455" w:rsidRPr="002D2216" w:rsidRDefault="00230455" w:rsidP="002D2216">
      <w:pPr>
        <w:pStyle w:val="NormalWeb"/>
        <w:numPr>
          <w:ilvl w:val="0"/>
          <w:numId w:val="22"/>
        </w:numPr>
        <w:spacing w:line="360" w:lineRule="auto"/>
        <w:ind w:left="0" w:firstLine="0"/>
        <w:rPr>
          <w:rFonts w:ascii="Verdana" w:hAnsi="Verdana"/>
          <w:sz w:val="20"/>
          <w:szCs w:val="20"/>
        </w:rPr>
      </w:pPr>
      <w:r w:rsidRPr="002D2216">
        <w:rPr>
          <w:rFonts w:ascii="Verdana" w:hAnsi="Verdana"/>
          <w:sz w:val="20"/>
          <w:szCs w:val="20"/>
          <w:lang w:val="bg-BG"/>
        </w:rPr>
        <w:t>Изготвяне на насоки за балансиран режим на хранене, указания за правилно съхранение и консумиране на храната,  особености в храненето /подходящи и неподходящи храни/ при различни заболявания;</w:t>
      </w:r>
    </w:p>
    <w:p w:rsidR="00230455" w:rsidRPr="002D2216" w:rsidRDefault="00230455" w:rsidP="00A2201C">
      <w:pPr>
        <w:pStyle w:val="NormalWeb"/>
        <w:numPr>
          <w:ilvl w:val="0"/>
          <w:numId w:val="22"/>
        </w:numPr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2D2216">
        <w:rPr>
          <w:rFonts w:ascii="Verdana" w:hAnsi="Verdana"/>
          <w:sz w:val="20"/>
          <w:szCs w:val="20"/>
          <w:lang w:val="bg-BG"/>
        </w:rPr>
        <w:t>Изготвяне и разпространение на информационни материали за основни социални права, например въпроси, касаещи правата на лицата по отношение на обезщетенията по Кодекса за социално осигуряване;</w:t>
      </w:r>
    </w:p>
    <w:p w:rsidR="00230455" w:rsidRPr="002D2216" w:rsidRDefault="00230455" w:rsidP="00A2201C">
      <w:pPr>
        <w:pStyle w:val="NormalWeb"/>
        <w:numPr>
          <w:ilvl w:val="0"/>
          <w:numId w:val="22"/>
        </w:numPr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2D2216">
        <w:rPr>
          <w:rFonts w:ascii="Verdana" w:hAnsi="Verdana"/>
          <w:sz w:val="20"/>
          <w:szCs w:val="20"/>
          <w:lang w:val="bg-BG"/>
        </w:rPr>
        <w:t>Осигуряване на индивидуално и/или групово консултиране за управление на семейния бюджет</w:t>
      </w:r>
      <w:r w:rsidRPr="002D2216">
        <w:rPr>
          <w:rFonts w:ascii="Verdana" w:hAnsi="Verdana"/>
          <w:sz w:val="20"/>
          <w:szCs w:val="20"/>
        </w:rPr>
        <w:t>;</w:t>
      </w:r>
    </w:p>
    <w:p w:rsidR="00230455" w:rsidRPr="002D2216" w:rsidRDefault="00230455" w:rsidP="00A2201C">
      <w:pPr>
        <w:pStyle w:val="NormalWeb"/>
        <w:numPr>
          <w:ilvl w:val="0"/>
          <w:numId w:val="22"/>
        </w:numPr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2D2216">
        <w:rPr>
          <w:rFonts w:ascii="Verdana" w:hAnsi="Verdana"/>
          <w:sz w:val="20"/>
          <w:szCs w:val="20"/>
          <w:lang w:val="bg-BG"/>
        </w:rPr>
        <w:t>Предоставяне на информация или консултация на теми „Ухапвания от насекоми“, „Предпазване от жегите. Топлинен и слънчев удар“;</w:t>
      </w:r>
    </w:p>
    <w:p w:rsidR="00230455" w:rsidRPr="002D2216" w:rsidRDefault="00230455" w:rsidP="00A2201C">
      <w:pPr>
        <w:pStyle w:val="NormalWeb"/>
        <w:numPr>
          <w:ilvl w:val="0"/>
          <w:numId w:val="22"/>
        </w:numPr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2D2216">
        <w:rPr>
          <w:rFonts w:ascii="Verdana" w:hAnsi="Verdana"/>
          <w:sz w:val="20"/>
          <w:szCs w:val="20"/>
          <w:lang w:val="bg-BG"/>
        </w:rPr>
        <w:t>Изготвяне и разпространение на информационни материали или консултиране във връзка с различни видове измами, например в момента най-актуални са телефонните измами;</w:t>
      </w:r>
    </w:p>
    <w:p w:rsidR="00230455" w:rsidRPr="002D2216" w:rsidRDefault="00230455" w:rsidP="00A2201C">
      <w:pPr>
        <w:pStyle w:val="NormalWeb"/>
        <w:numPr>
          <w:ilvl w:val="0"/>
          <w:numId w:val="22"/>
        </w:numPr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2D2216">
        <w:rPr>
          <w:rFonts w:ascii="Verdana" w:hAnsi="Verdana"/>
          <w:sz w:val="20"/>
          <w:szCs w:val="20"/>
          <w:lang w:val="bg-BG"/>
        </w:rPr>
        <w:t>Изнасяне на групови лекции по полезни теми</w:t>
      </w:r>
      <w:r w:rsidR="00A2201C">
        <w:rPr>
          <w:rFonts w:ascii="Verdana" w:hAnsi="Verdana"/>
          <w:sz w:val="20"/>
          <w:szCs w:val="20"/>
        </w:rPr>
        <w:t xml:space="preserve"> </w:t>
      </w:r>
      <w:r w:rsidR="00A2201C">
        <w:rPr>
          <w:rFonts w:ascii="Verdana" w:hAnsi="Verdana"/>
          <w:sz w:val="20"/>
          <w:szCs w:val="20"/>
          <w:lang w:val="bg-BG"/>
        </w:rPr>
        <w:t>спрямо състава на целевите групи – роми, възрастни хораи т.н.</w:t>
      </w:r>
      <w:r w:rsidRPr="002D2216">
        <w:rPr>
          <w:rFonts w:ascii="Verdana" w:hAnsi="Verdana"/>
          <w:sz w:val="20"/>
          <w:szCs w:val="20"/>
          <w:lang w:val="bg-BG"/>
        </w:rPr>
        <w:t xml:space="preserve"> </w:t>
      </w:r>
    </w:p>
    <w:p w:rsidR="00533663" w:rsidRPr="006F42E2" w:rsidRDefault="00533663" w:rsidP="00533663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 w:cs="Verdana"/>
          <w:i/>
          <w:sz w:val="20"/>
          <w:szCs w:val="20"/>
        </w:rPr>
      </w:pPr>
      <w:r w:rsidRPr="006F42E2">
        <w:rPr>
          <w:rFonts w:ascii="Verdana" w:hAnsi="Verdana" w:cs="Verdana"/>
          <w:i/>
          <w:sz w:val="20"/>
          <w:szCs w:val="20"/>
        </w:rPr>
        <w:t xml:space="preserve">С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цел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повишаване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информираността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на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потребителите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на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„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топъл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обяд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“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за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правилното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съхранение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и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консумация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на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приготвена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храна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и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предотвратяване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на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хранителни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неразположения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,  </w:t>
      </w:r>
      <w:r w:rsidR="006F42E2">
        <w:rPr>
          <w:rFonts w:ascii="Verdana" w:hAnsi="Verdana" w:cs="Verdana"/>
          <w:i/>
          <w:sz w:val="20"/>
          <w:szCs w:val="20"/>
          <w:lang w:val="bg-BG"/>
        </w:rPr>
        <w:t xml:space="preserve">УО на ОПХ ФЕПНЛ </w:t>
      </w:r>
      <w:r w:rsidR="002F0FF8">
        <w:rPr>
          <w:rFonts w:ascii="Verdana" w:hAnsi="Verdana" w:cs="Verdana"/>
          <w:i/>
          <w:sz w:val="20"/>
          <w:szCs w:val="20"/>
          <w:lang w:val="bg-BG"/>
        </w:rPr>
        <w:t>разработи</w:t>
      </w:r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насоки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за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съхранението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и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консумацията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на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приготвената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храна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,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както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и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за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миене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на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ръце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,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изложени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на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достъпен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език</w:t>
      </w:r>
      <w:proofErr w:type="spellEnd"/>
      <w:r w:rsidR="002F0FF8">
        <w:rPr>
          <w:rFonts w:ascii="Verdana" w:hAnsi="Verdana" w:cs="Verdana"/>
          <w:i/>
          <w:sz w:val="20"/>
          <w:szCs w:val="20"/>
          <w:lang w:val="bg-BG"/>
        </w:rPr>
        <w:t xml:space="preserve">. Информацията може </w:t>
      </w:r>
      <w:r w:rsidR="002F0FF8">
        <w:rPr>
          <w:rFonts w:ascii="Verdana" w:hAnsi="Verdana" w:cs="Verdana"/>
          <w:i/>
          <w:sz w:val="20"/>
          <w:szCs w:val="20"/>
          <w:lang w:val="bg-BG"/>
        </w:rPr>
        <w:lastRenderedPageBreak/>
        <w:t>да бъде</w:t>
      </w:r>
      <w:r w:rsidR="002F0FF8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="002F0FF8">
        <w:rPr>
          <w:rFonts w:ascii="Verdana" w:hAnsi="Verdana" w:cs="Verdana"/>
          <w:i/>
          <w:sz w:val="20"/>
          <w:szCs w:val="20"/>
        </w:rPr>
        <w:t>разпростран</w:t>
      </w:r>
      <w:proofErr w:type="spellEnd"/>
      <w:r w:rsidR="002F0FF8">
        <w:rPr>
          <w:rFonts w:ascii="Verdana" w:hAnsi="Verdana" w:cs="Verdana"/>
          <w:i/>
          <w:sz w:val="20"/>
          <w:szCs w:val="20"/>
          <w:lang w:val="bg-BG"/>
        </w:rPr>
        <w:t>ена</w:t>
      </w:r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по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всички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възможни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начини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/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брошури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,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информационни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табла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,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групови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сесии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при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реализиране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на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съпътстващи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мерки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и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др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./ </w:t>
      </w:r>
      <w:proofErr w:type="gramStart"/>
      <w:r w:rsidRPr="006F42E2">
        <w:rPr>
          <w:rFonts w:ascii="Verdana" w:hAnsi="Verdana" w:cs="Verdana"/>
          <w:i/>
          <w:sz w:val="20"/>
          <w:szCs w:val="20"/>
        </w:rPr>
        <w:t>и</w:t>
      </w:r>
      <w:proofErr w:type="gram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r w:rsidR="002F0FF8">
        <w:rPr>
          <w:rFonts w:ascii="Verdana" w:hAnsi="Verdana" w:cs="Verdana"/>
          <w:i/>
          <w:sz w:val="20"/>
          <w:szCs w:val="20"/>
          <w:lang w:val="bg-BG"/>
        </w:rPr>
        <w:t xml:space="preserve">да </w:t>
      </w:r>
      <w:proofErr w:type="spellStart"/>
      <w:r w:rsidR="002F0FF8">
        <w:rPr>
          <w:rFonts w:ascii="Verdana" w:hAnsi="Verdana" w:cs="Verdana"/>
          <w:i/>
          <w:sz w:val="20"/>
          <w:szCs w:val="20"/>
        </w:rPr>
        <w:t>достигн</w:t>
      </w:r>
      <w:proofErr w:type="spellEnd"/>
      <w:r w:rsidR="002F0FF8">
        <w:rPr>
          <w:rFonts w:ascii="Verdana" w:hAnsi="Verdana" w:cs="Verdana"/>
          <w:i/>
          <w:sz w:val="20"/>
          <w:szCs w:val="20"/>
          <w:lang w:val="bg-BG"/>
        </w:rPr>
        <w:t>е</w:t>
      </w:r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до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всички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потребители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на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„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топъл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обяд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“. </w:t>
      </w:r>
    </w:p>
    <w:p w:rsidR="0099080A" w:rsidRPr="0099080A" w:rsidRDefault="00533663" w:rsidP="00A2201C">
      <w:pPr>
        <w:autoSpaceDE w:val="0"/>
        <w:autoSpaceDN w:val="0"/>
        <w:adjustRightInd w:val="0"/>
        <w:spacing w:line="360" w:lineRule="auto"/>
        <w:ind w:left="142" w:firstLine="578"/>
        <w:jc w:val="both"/>
        <w:rPr>
          <w:rFonts w:ascii="Verdana" w:hAnsi="Verdana"/>
          <w:i/>
          <w:sz w:val="20"/>
          <w:szCs w:val="20"/>
          <w:lang w:val="bg-BG"/>
        </w:rPr>
      </w:pPr>
      <w:proofErr w:type="spellStart"/>
      <w:r w:rsidRPr="006F42E2">
        <w:rPr>
          <w:rFonts w:ascii="Verdana" w:hAnsi="Verdana" w:cs="Verdana"/>
          <w:i/>
          <w:sz w:val="20"/>
          <w:szCs w:val="20"/>
        </w:rPr>
        <w:t>Горецитираните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материали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r w:rsidRPr="006F42E2">
        <w:rPr>
          <w:rFonts w:ascii="Verdana" w:hAnsi="Verdana" w:cs="Verdana"/>
          <w:i/>
          <w:sz w:val="20"/>
          <w:szCs w:val="20"/>
          <w:lang w:val="bg-BG"/>
        </w:rPr>
        <w:t>са</w:t>
      </w:r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публикувани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на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електронния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портал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на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Агенцията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за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социално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 w:cs="Verdana"/>
          <w:i/>
          <w:sz w:val="20"/>
          <w:szCs w:val="20"/>
        </w:rPr>
        <w:t>подпомагане</w:t>
      </w:r>
      <w:proofErr w:type="spellEnd"/>
      <w:r w:rsidRPr="006F42E2">
        <w:rPr>
          <w:rFonts w:ascii="Verdana" w:hAnsi="Verdana" w:cs="Verdana"/>
          <w:i/>
          <w:sz w:val="20"/>
          <w:szCs w:val="20"/>
        </w:rPr>
        <w:t xml:space="preserve"> – </w:t>
      </w:r>
      <w:hyperlink r:id="rId10" w:history="1">
        <w:r w:rsidRPr="006F42E2">
          <w:rPr>
            <w:rStyle w:val="Hyperlink"/>
            <w:rFonts w:ascii="Verdana" w:hAnsi="Verdana" w:cs="Verdana"/>
            <w:i/>
            <w:sz w:val="20"/>
            <w:szCs w:val="20"/>
          </w:rPr>
          <w:t>www.asp.government.bg</w:t>
        </w:r>
      </w:hyperlink>
      <w:r w:rsidRPr="006F42E2">
        <w:rPr>
          <w:rFonts w:ascii="Verdana" w:hAnsi="Verdana" w:cs="Verdana"/>
          <w:i/>
          <w:sz w:val="20"/>
          <w:szCs w:val="20"/>
        </w:rPr>
        <w:t>,</w:t>
      </w:r>
      <w:r w:rsidRPr="006F42E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/>
          <w:i/>
          <w:sz w:val="20"/>
          <w:szCs w:val="20"/>
        </w:rPr>
        <w:t>раздел</w:t>
      </w:r>
      <w:proofErr w:type="spellEnd"/>
      <w:r w:rsidRPr="006F42E2">
        <w:rPr>
          <w:rFonts w:ascii="Verdana" w:hAnsi="Verdana"/>
          <w:i/>
          <w:sz w:val="20"/>
          <w:szCs w:val="20"/>
        </w:rPr>
        <w:t xml:space="preserve"> „</w:t>
      </w:r>
      <w:proofErr w:type="spellStart"/>
      <w:r w:rsidRPr="006F42E2">
        <w:rPr>
          <w:rFonts w:ascii="Verdana" w:hAnsi="Verdana"/>
          <w:i/>
          <w:sz w:val="20"/>
          <w:szCs w:val="20"/>
        </w:rPr>
        <w:t>Оперативна</w:t>
      </w:r>
      <w:proofErr w:type="spellEnd"/>
      <w:r w:rsidRPr="006F42E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/>
          <w:i/>
          <w:sz w:val="20"/>
          <w:szCs w:val="20"/>
        </w:rPr>
        <w:t>програма</w:t>
      </w:r>
      <w:proofErr w:type="spellEnd"/>
      <w:r w:rsidRPr="006F42E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/>
          <w:i/>
          <w:sz w:val="20"/>
          <w:szCs w:val="20"/>
        </w:rPr>
        <w:t>за</w:t>
      </w:r>
      <w:proofErr w:type="spellEnd"/>
      <w:r w:rsidRPr="006F42E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/>
          <w:i/>
          <w:sz w:val="20"/>
          <w:szCs w:val="20"/>
        </w:rPr>
        <w:t>храни</w:t>
      </w:r>
      <w:proofErr w:type="spellEnd"/>
      <w:r w:rsidRPr="006F42E2">
        <w:rPr>
          <w:rFonts w:ascii="Verdana" w:hAnsi="Verdana"/>
          <w:i/>
          <w:sz w:val="20"/>
          <w:szCs w:val="20"/>
        </w:rPr>
        <w:t xml:space="preserve">“, </w:t>
      </w:r>
      <w:proofErr w:type="spellStart"/>
      <w:r w:rsidRPr="006F42E2">
        <w:rPr>
          <w:rFonts w:ascii="Verdana" w:hAnsi="Verdana"/>
          <w:i/>
          <w:sz w:val="20"/>
          <w:szCs w:val="20"/>
        </w:rPr>
        <w:t>на</w:t>
      </w:r>
      <w:proofErr w:type="spellEnd"/>
      <w:r w:rsidRPr="006F42E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6F42E2">
        <w:rPr>
          <w:rFonts w:ascii="Verdana" w:hAnsi="Verdana"/>
          <w:i/>
          <w:sz w:val="20"/>
          <w:szCs w:val="20"/>
        </w:rPr>
        <w:t>линк</w:t>
      </w:r>
      <w:proofErr w:type="spellEnd"/>
      <w:r w:rsidRPr="006F42E2">
        <w:rPr>
          <w:rFonts w:ascii="Verdana" w:hAnsi="Verdana"/>
          <w:i/>
          <w:sz w:val="20"/>
          <w:szCs w:val="20"/>
        </w:rPr>
        <w:t xml:space="preserve">: </w:t>
      </w:r>
      <w:hyperlink r:id="rId11" w:history="1">
        <w:r w:rsidRPr="006F42E2">
          <w:rPr>
            <w:rStyle w:val="Hyperlink"/>
            <w:rFonts w:ascii="Verdana" w:hAnsi="Verdana"/>
            <w:i/>
            <w:sz w:val="20"/>
            <w:szCs w:val="20"/>
          </w:rPr>
          <w:t>http://www.asp.government.bg/web/guest/proceduri</w:t>
        </w:r>
      </w:hyperlink>
      <w:r w:rsidRPr="006F42E2">
        <w:rPr>
          <w:rFonts w:ascii="Verdana" w:hAnsi="Verdana"/>
          <w:i/>
          <w:sz w:val="20"/>
          <w:szCs w:val="20"/>
        </w:rPr>
        <w:t>.</w:t>
      </w:r>
    </w:p>
    <w:p w:rsidR="004C2E5D" w:rsidRPr="000507DF" w:rsidRDefault="00230455" w:rsidP="002D2216">
      <w:pPr>
        <w:pStyle w:val="NormalWeb"/>
        <w:kinsoku w:val="0"/>
        <w:overflowPunct w:val="0"/>
        <w:spacing w:line="360" w:lineRule="auto"/>
        <w:ind w:left="720" w:hanging="720"/>
        <w:jc w:val="both"/>
        <w:rPr>
          <w:rFonts w:ascii="Verdana" w:hAnsi="Verdana"/>
          <w:b/>
          <w:sz w:val="20"/>
          <w:szCs w:val="20"/>
        </w:rPr>
      </w:pPr>
      <w:r w:rsidRPr="000507DF">
        <w:rPr>
          <w:rFonts w:ascii="Verdana" w:hAnsi="Verdana"/>
          <w:b/>
          <w:bCs/>
          <w:sz w:val="20"/>
          <w:szCs w:val="20"/>
        </w:rPr>
        <w:t xml:space="preserve">V. </w:t>
      </w:r>
      <w:r w:rsidR="004C2E5D" w:rsidRPr="000507DF">
        <w:rPr>
          <w:rFonts w:ascii="Verdana" w:hAnsi="Verdana"/>
          <w:b/>
          <w:bCs/>
          <w:sz w:val="20"/>
          <w:szCs w:val="20"/>
          <w:lang w:val="bg-BG"/>
        </w:rPr>
        <w:t>Добри европейски практики при осъществяване на съпътстващи мерки</w:t>
      </w:r>
    </w:p>
    <w:p w:rsidR="004C2E5D" w:rsidRPr="004C2E5D" w:rsidRDefault="004C2E5D" w:rsidP="000507DF">
      <w:pPr>
        <w:numPr>
          <w:ilvl w:val="0"/>
          <w:numId w:val="23"/>
        </w:numPr>
        <w:kinsoku w:val="0"/>
        <w:overflowPunct w:val="0"/>
        <w:spacing w:after="0" w:line="360" w:lineRule="auto"/>
        <w:ind w:left="0" w:firstLine="0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4C2E5D">
        <w:rPr>
          <w:rFonts w:ascii="Verdana" w:eastAsiaTheme="minorEastAsia" w:hAnsi="Verdana"/>
          <w:color w:val="000000" w:themeColor="text1"/>
          <w:sz w:val="20"/>
          <w:szCs w:val="20"/>
          <w:lang w:val="bg-BG"/>
        </w:rPr>
        <w:t xml:space="preserve">Под управлението на служители от Обществения център за социално подпомагане -  Антверпен, </w:t>
      </w:r>
      <w:r w:rsidRPr="004C2E5D">
        <w:rPr>
          <w:rFonts w:ascii="Verdana" w:eastAsiaTheme="minorEastAsia" w:hAnsi="Verdana"/>
          <w:bCs/>
          <w:color w:val="000000" w:themeColor="text1"/>
          <w:sz w:val="20"/>
          <w:szCs w:val="20"/>
          <w:lang w:val="bg-BG"/>
        </w:rPr>
        <w:t>Белгия</w:t>
      </w:r>
      <w:r w:rsidR="000B76C6">
        <w:rPr>
          <w:rFonts w:ascii="Verdana" w:eastAsiaTheme="minorEastAsia" w:hAnsi="Verdana"/>
          <w:bCs/>
          <w:color w:val="000000" w:themeColor="text1"/>
          <w:sz w:val="20"/>
          <w:szCs w:val="20"/>
          <w:lang w:val="bg-BG"/>
        </w:rPr>
        <w:t>,</w:t>
      </w:r>
      <w:r w:rsidRPr="004C2E5D">
        <w:rPr>
          <w:rFonts w:ascii="Verdana" w:eastAsiaTheme="minorEastAsia" w:hAnsi="Verdana"/>
          <w:color w:val="000000" w:themeColor="text1"/>
          <w:sz w:val="20"/>
          <w:szCs w:val="20"/>
          <w:lang w:val="bg-BG"/>
        </w:rPr>
        <w:t xml:space="preserve"> крайните получатели на помощта от ФЕПНЛ придобиват трудов опит и получават минимална заплата, като работят в центрове за разпространение на помощи.</w:t>
      </w:r>
    </w:p>
    <w:p w:rsidR="00001911" w:rsidRPr="002D2216" w:rsidRDefault="00204A48" w:rsidP="000507DF">
      <w:pPr>
        <w:numPr>
          <w:ilvl w:val="0"/>
          <w:numId w:val="23"/>
        </w:numPr>
        <w:kinsoku w:val="0"/>
        <w:overflowPunct w:val="0"/>
        <w:spacing w:line="360" w:lineRule="auto"/>
        <w:ind w:left="0" w:firstLine="0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2D2216">
        <w:rPr>
          <w:rFonts w:ascii="Verdana" w:eastAsia="Times New Roman" w:hAnsi="Verdana" w:cs="Times New Roman"/>
          <w:sz w:val="20"/>
          <w:szCs w:val="20"/>
          <w:lang w:val="bg-BG"/>
        </w:rPr>
        <w:t xml:space="preserve">От 2006 г. насам доброволците на Каритас </w:t>
      </w:r>
      <w:r w:rsidR="000B76C6">
        <w:rPr>
          <w:rFonts w:ascii="Verdana" w:eastAsia="Times New Roman" w:hAnsi="Verdana" w:cs="Times New Roman"/>
          <w:sz w:val="20"/>
          <w:szCs w:val="20"/>
          <w:lang w:val="bg-BG"/>
        </w:rPr>
        <w:t xml:space="preserve">- </w:t>
      </w:r>
      <w:r w:rsidRPr="002D2216">
        <w:rPr>
          <w:rFonts w:ascii="Verdana" w:eastAsia="Times New Roman" w:hAnsi="Verdana" w:cs="Times New Roman"/>
          <w:sz w:val="20"/>
          <w:szCs w:val="20"/>
          <w:lang w:val="bg-BG"/>
        </w:rPr>
        <w:t>Словения разпространяват храна и предоставят съпътстващи мерки. Пр</w:t>
      </w:r>
      <w:r w:rsidR="000B76C6">
        <w:rPr>
          <w:rFonts w:ascii="Verdana" w:eastAsia="Times New Roman" w:hAnsi="Verdana" w:cs="Times New Roman"/>
          <w:sz w:val="20"/>
          <w:szCs w:val="20"/>
          <w:lang w:val="bg-BG"/>
        </w:rPr>
        <w:t>оцесът</w:t>
      </w:r>
      <w:r w:rsidRPr="002D2216">
        <w:rPr>
          <w:rFonts w:ascii="Verdana" w:eastAsia="Times New Roman" w:hAnsi="Verdana" w:cs="Times New Roman"/>
          <w:sz w:val="20"/>
          <w:szCs w:val="20"/>
          <w:lang w:val="bg-BG"/>
        </w:rPr>
        <w:t xml:space="preserve">, чрез който те насочват получателите на храни </w:t>
      </w:r>
      <w:r w:rsidR="000B76C6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="000507DF">
        <w:rPr>
          <w:rFonts w:ascii="Verdana" w:eastAsia="Times New Roman" w:hAnsi="Verdana" w:cs="Times New Roman"/>
          <w:sz w:val="20"/>
          <w:szCs w:val="20"/>
          <w:lang w:val="bg-BG"/>
        </w:rPr>
        <w:t>ФЕПНЛ</w:t>
      </w:r>
      <w:r w:rsidRPr="002D2216">
        <w:rPr>
          <w:rFonts w:ascii="Verdana" w:eastAsia="Times New Roman" w:hAnsi="Verdana" w:cs="Times New Roman"/>
          <w:sz w:val="20"/>
          <w:szCs w:val="20"/>
          <w:lang w:val="bg-BG"/>
        </w:rPr>
        <w:t xml:space="preserve"> към други услуги, включва на първо място „Внимателно изслушване” на всеки един от крайните получатели.</w:t>
      </w:r>
    </w:p>
    <w:p w:rsidR="004C2E5D" w:rsidRPr="004C2E5D" w:rsidRDefault="004C2E5D" w:rsidP="000507DF">
      <w:pPr>
        <w:numPr>
          <w:ilvl w:val="0"/>
          <w:numId w:val="23"/>
        </w:numPr>
        <w:kinsoku w:val="0"/>
        <w:overflowPunct w:val="0"/>
        <w:spacing w:after="0" w:line="360" w:lineRule="auto"/>
        <w:ind w:left="0" w:firstLine="0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4C2E5D">
        <w:rPr>
          <w:rFonts w:ascii="Verdana" w:eastAsiaTheme="minorEastAsia" w:hAnsi="Verdana"/>
          <w:color w:val="000000" w:themeColor="text1"/>
          <w:sz w:val="20"/>
          <w:szCs w:val="20"/>
          <w:lang w:val="bg-BG"/>
        </w:rPr>
        <w:t>За много организации по прилагането на съпътстващи мерки, доброволците имат</w:t>
      </w:r>
      <w:r w:rsidRPr="004C2E5D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r w:rsidRPr="004C2E5D">
        <w:rPr>
          <w:rFonts w:ascii="Verdana" w:eastAsiaTheme="minorEastAsia" w:hAnsi="Verdana"/>
          <w:color w:val="000000" w:themeColor="text1"/>
          <w:sz w:val="20"/>
          <w:szCs w:val="20"/>
          <w:lang w:val="bg-BG"/>
        </w:rPr>
        <w:t>решаващо значение при насочването на крайните получатели на ФЕПНЛ към съпътстващите ги услуги. Ролята на доброволците в Червения кръст в три различни държави, членки на ЕС:</w:t>
      </w:r>
    </w:p>
    <w:p w:rsidR="004C2E5D" w:rsidRPr="000507DF" w:rsidRDefault="000B76C6" w:rsidP="000507DF">
      <w:pPr>
        <w:pStyle w:val="ListParagraph"/>
        <w:numPr>
          <w:ilvl w:val="1"/>
          <w:numId w:val="23"/>
        </w:numPr>
        <w:kinsoku w:val="0"/>
        <w:overflowPunct w:val="0"/>
        <w:spacing w:before="77" w:line="360" w:lineRule="auto"/>
        <w:ind w:left="0" w:firstLine="0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eastAsiaTheme="minorEastAsia" w:hAnsi="Verdana"/>
          <w:color w:val="000000" w:themeColor="text1"/>
          <w:sz w:val="20"/>
          <w:szCs w:val="20"/>
          <w:lang w:val="bg-BG"/>
        </w:rPr>
        <w:t>За Червения</w:t>
      </w:r>
      <w:r w:rsidR="004C2E5D" w:rsidRPr="000507DF">
        <w:rPr>
          <w:rFonts w:ascii="Verdana" w:eastAsiaTheme="minorEastAsia" w:hAnsi="Verdana"/>
          <w:color w:val="000000" w:themeColor="text1"/>
          <w:sz w:val="20"/>
          <w:szCs w:val="20"/>
          <w:lang w:val="bg-BG"/>
        </w:rPr>
        <w:t xml:space="preserve"> кръст във </w:t>
      </w:r>
      <w:r w:rsidR="004C2E5D" w:rsidRPr="000507DF">
        <w:rPr>
          <w:rFonts w:ascii="Verdana" w:eastAsiaTheme="minorEastAsia" w:hAnsi="Verdana"/>
          <w:bCs/>
          <w:color w:val="000000" w:themeColor="text1"/>
          <w:sz w:val="20"/>
          <w:szCs w:val="20"/>
          <w:lang w:val="bg-BG"/>
        </w:rPr>
        <w:t xml:space="preserve">Финландия </w:t>
      </w:r>
      <w:r w:rsidR="004C2E5D" w:rsidRPr="000507DF">
        <w:rPr>
          <w:rFonts w:ascii="Verdana" w:eastAsiaTheme="minorEastAsia" w:hAnsi="Verdana"/>
          <w:color w:val="000000" w:themeColor="text1"/>
          <w:sz w:val="20"/>
          <w:szCs w:val="20"/>
          <w:lang w:val="bg-BG"/>
        </w:rPr>
        <w:t>е от значение важността на доброволците и набирането и ангажирането на нови такива.</w:t>
      </w:r>
    </w:p>
    <w:p w:rsidR="004C2E5D" w:rsidRPr="000507DF" w:rsidRDefault="004C2E5D" w:rsidP="000507DF">
      <w:pPr>
        <w:pStyle w:val="ListParagraph"/>
        <w:numPr>
          <w:ilvl w:val="1"/>
          <w:numId w:val="23"/>
        </w:numPr>
        <w:kinsoku w:val="0"/>
        <w:overflowPunct w:val="0"/>
        <w:spacing w:before="77" w:line="360" w:lineRule="auto"/>
        <w:ind w:left="0" w:firstLine="0"/>
        <w:jc w:val="both"/>
        <w:textAlignment w:val="baseline"/>
        <w:rPr>
          <w:rFonts w:ascii="Verdana" w:hAnsi="Verdana"/>
          <w:sz w:val="20"/>
          <w:szCs w:val="20"/>
        </w:rPr>
      </w:pPr>
      <w:r w:rsidRPr="000507DF">
        <w:rPr>
          <w:rFonts w:ascii="Verdana" w:eastAsiaTheme="minorEastAsia" w:hAnsi="Verdana"/>
          <w:color w:val="000000" w:themeColor="text1"/>
          <w:sz w:val="20"/>
          <w:szCs w:val="20"/>
          <w:lang w:val="bg-BG"/>
        </w:rPr>
        <w:t xml:space="preserve">Тъй като Червеният кръст в </w:t>
      </w:r>
      <w:r w:rsidRPr="000507DF">
        <w:rPr>
          <w:rFonts w:ascii="Verdana" w:eastAsiaTheme="minorEastAsia" w:hAnsi="Verdana"/>
          <w:bCs/>
          <w:color w:val="000000" w:themeColor="text1"/>
          <w:sz w:val="20"/>
          <w:szCs w:val="20"/>
          <w:lang w:val="bg-BG"/>
        </w:rPr>
        <w:t>Испания</w:t>
      </w:r>
      <w:r w:rsidRPr="000507DF">
        <w:rPr>
          <w:rFonts w:ascii="Verdana" w:eastAsiaTheme="minorEastAsia" w:hAnsi="Verdana"/>
          <w:color w:val="000000" w:themeColor="text1"/>
          <w:sz w:val="20"/>
          <w:szCs w:val="20"/>
          <w:lang w:val="bg-BG"/>
        </w:rPr>
        <w:t xml:space="preserve"> има широка мрежа от над 200 000 доброволци, важно е да може бързо да се ангажират доброволци със съответния опит за дългосрочни и краткосрочни проекти</w:t>
      </w:r>
      <w:r w:rsidRPr="000507DF">
        <w:rPr>
          <w:rFonts w:ascii="Verdana" w:eastAsiaTheme="minorEastAsia" w:hAnsi="Verdana"/>
          <w:color w:val="000000" w:themeColor="text1"/>
          <w:sz w:val="20"/>
          <w:szCs w:val="20"/>
        </w:rPr>
        <w:t>.</w:t>
      </w:r>
    </w:p>
    <w:p w:rsidR="004C2E5D" w:rsidRPr="000507DF" w:rsidRDefault="004C2E5D" w:rsidP="000507DF">
      <w:pPr>
        <w:pStyle w:val="ListParagraph"/>
        <w:numPr>
          <w:ilvl w:val="1"/>
          <w:numId w:val="23"/>
        </w:numPr>
        <w:kinsoku w:val="0"/>
        <w:overflowPunct w:val="0"/>
        <w:spacing w:before="77" w:line="360" w:lineRule="auto"/>
        <w:ind w:left="0" w:firstLine="0"/>
        <w:jc w:val="both"/>
        <w:textAlignment w:val="baseline"/>
        <w:rPr>
          <w:rFonts w:ascii="Verdana" w:hAnsi="Verdana"/>
          <w:sz w:val="20"/>
          <w:szCs w:val="20"/>
        </w:rPr>
      </w:pPr>
      <w:r w:rsidRPr="000507DF">
        <w:rPr>
          <w:rFonts w:ascii="Verdana" w:eastAsiaTheme="minorEastAsia" w:hAnsi="Verdana"/>
          <w:color w:val="000000" w:themeColor="text1"/>
          <w:sz w:val="20"/>
          <w:szCs w:val="20"/>
          <w:lang w:val="bg-BG"/>
        </w:rPr>
        <w:t xml:space="preserve">За ефективното предлагане на съпътстващи мерки е важно доброволците да са достатъчно обучени. При въвеждането в работата всички 160 000 доброволци са получили 18 часа обучение, за да станат доброволец на Червения кръст </w:t>
      </w:r>
      <w:r w:rsidRPr="000507DF">
        <w:rPr>
          <w:rFonts w:ascii="Verdana" w:eastAsiaTheme="minorEastAsia" w:hAnsi="Verdana"/>
          <w:bCs/>
          <w:color w:val="000000" w:themeColor="text1"/>
          <w:sz w:val="20"/>
          <w:szCs w:val="20"/>
          <w:lang w:val="bg-BG"/>
        </w:rPr>
        <w:t>Италия</w:t>
      </w:r>
      <w:r w:rsidRPr="000507DF">
        <w:rPr>
          <w:rFonts w:ascii="Verdana" w:eastAsiaTheme="minorEastAsia" w:hAnsi="Verdana"/>
          <w:color w:val="000000" w:themeColor="text1"/>
          <w:sz w:val="20"/>
          <w:szCs w:val="20"/>
          <w:lang w:val="bg-BG"/>
        </w:rPr>
        <w:t>.</w:t>
      </w:r>
    </w:p>
    <w:p w:rsidR="00230455" w:rsidRPr="002D2216" w:rsidRDefault="00230455" w:rsidP="002D221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Verdana" w:eastAsiaTheme="minorEastAsia" w:hAnsi="Verdana"/>
          <w:bCs/>
          <w:kern w:val="24"/>
          <w:sz w:val="20"/>
          <w:szCs w:val="20"/>
          <w14:shadow w14:blurRad="38100" w14:dist="38100" w14:dir="2700000" w14:sx="100000" w14:sy="100000" w14:kx="0" w14:ky="0" w14:algn="tl">
            <w14:srgbClr w14:val="C0C0C0"/>
          </w14:shadow>
        </w:rPr>
      </w:pPr>
    </w:p>
    <w:p w:rsidR="00230455" w:rsidRPr="00230455" w:rsidRDefault="00230455" w:rsidP="00230455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/>
          <w:b/>
          <w:sz w:val="20"/>
          <w:szCs w:val="20"/>
        </w:rPr>
      </w:pPr>
      <w:r w:rsidRPr="00230455">
        <w:rPr>
          <w:rFonts w:ascii="Verdana" w:eastAsiaTheme="minorEastAsia" w:hAnsi="Verdana"/>
          <w:b/>
          <w:bCs/>
          <w:kern w:val="24"/>
          <w:sz w:val="20"/>
          <w:szCs w:val="20"/>
          <w14:shadow w14:blurRad="38100" w14:dist="38100" w14:dir="2700000" w14:sx="100000" w14:sy="100000" w14:kx="0" w14:ky="0" w14:algn="tl">
            <w14:srgbClr w14:val="C0C0C0"/>
          </w14:shadow>
        </w:rPr>
        <w:t xml:space="preserve">VI. </w:t>
      </w:r>
      <w:r w:rsidRPr="00230455">
        <w:rPr>
          <w:rFonts w:ascii="Verdana" w:eastAsiaTheme="minorEastAsia" w:hAnsi="Verdana"/>
          <w:b/>
          <w:bCs/>
          <w:kern w:val="24"/>
          <w:sz w:val="20"/>
          <w:szCs w:val="20"/>
          <w:lang w:val="bg-BG"/>
          <w14:shadow w14:blurRad="38100" w14:dist="38100" w14:dir="2700000" w14:sx="100000" w14:sy="100000" w14:kx="0" w14:ky="0" w14:algn="tl">
            <w14:srgbClr w14:val="C0C0C0"/>
          </w14:shadow>
        </w:rPr>
        <w:t>Основни предизвикателства пред страните членки на ЕС при предоставянето на съпътстващи мерки по Фонда за европейско подпомагане на най – нуждаещите се лица</w:t>
      </w:r>
    </w:p>
    <w:p w:rsidR="004C2E5D" w:rsidRPr="00230455" w:rsidRDefault="004C2E5D" w:rsidP="00230455">
      <w:pPr>
        <w:kinsoku w:val="0"/>
        <w:overflowPunct w:val="0"/>
        <w:spacing w:line="360" w:lineRule="auto"/>
        <w:ind w:left="720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230455" w:rsidRPr="00CA5CEA" w:rsidRDefault="00230455" w:rsidP="00CA5CEA">
      <w:pPr>
        <w:pStyle w:val="NormalWeb"/>
        <w:numPr>
          <w:ilvl w:val="0"/>
          <w:numId w:val="2"/>
        </w:numPr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Verdana" w:hAnsi="Verdana"/>
          <w:sz w:val="20"/>
          <w:szCs w:val="20"/>
        </w:rPr>
      </w:pPr>
      <w:r w:rsidRPr="00CA5CEA">
        <w:rPr>
          <w:rFonts w:ascii="Verdana" w:eastAsiaTheme="minorEastAsia" w:hAnsi="Verdana" w:cstheme="minorBidi"/>
          <w:bCs/>
          <w:color w:val="000000" w:themeColor="text1"/>
          <w:kern w:val="24"/>
          <w:sz w:val="20"/>
          <w:szCs w:val="20"/>
          <w:lang w:val="bg-BG"/>
        </w:rPr>
        <w:t xml:space="preserve">Липса на достатъчно обучени </w:t>
      </w:r>
      <w:r w:rsidR="00CA5CEA">
        <w:rPr>
          <w:rFonts w:ascii="Verdana" w:eastAsiaTheme="minorEastAsia" w:hAnsi="Verdana" w:cstheme="minorBidi"/>
          <w:bCs/>
          <w:color w:val="000000" w:themeColor="text1"/>
          <w:kern w:val="24"/>
          <w:sz w:val="20"/>
          <w:szCs w:val="20"/>
          <w:lang w:val="bg-BG"/>
        </w:rPr>
        <w:t>доброволци или експерти</w:t>
      </w:r>
      <w:r w:rsidRPr="00CA5CEA">
        <w:rPr>
          <w:rFonts w:ascii="Verdana" w:eastAsiaTheme="minorEastAsia" w:hAnsi="Verdana" w:cstheme="minorBidi"/>
          <w:bCs/>
          <w:color w:val="000000" w:themeColor="text1"/>
          <w:kern w:val="24"/>
          <w:sz w:val="20"/>
          <w:szCs w:val="20"/>
          <w:lang w:val="bg-BG"/>
        </w:rPr>
        <w:t>;</w:t>
      </w:r>
    </w:p>
    <w:p w:rsidR="00230455" w:rsidRPr="00CA5CEA" w:rsidRDefault="00230455" w:rsidP="00CA5CEA">
      <w:pPr>
        <w:pStyle w:val="NormalWeb"/>
        <w:numPr>
          <w:ilvl w:val="0"/>
          <w:numId w:val="2"/>
        </w:numPr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Verdana" w:hAnsi="Verdana"/>
          <w:sz w:val="20"/>
          <w:szCs w:val="20"/>
        </w:rPr>
      </w:pPr>
      <w:r w:rsidRPr="00CA5CEA">
        <w:rPr>
          <w:rFonts w:ascii="Verdana" w:eastAsiaTheme="minorEastAsia" w:hAnsi="Verdana" w:cstheme="minorBidi"/>
          <w:bCs/>
          <w:color w:val="000000" w:themeColor="text1"/>
          <w:kern w:val="24"/>
          <w:sz w:val="20"/>
          <w:szCs w:val="20"/>
          <w:lang w:val="bg-BG"/>
        </w:rPr>
        <w:t>Обем и разнородност на целевата група;</w:t>
      </w:r>
    </w:p>
    <w:p w:rsidR="00230455" w:rsidRPr="00CA5CEA" w:rsidRDefault="00230455" w:rsidP="00CA5CEA">
      <w:pPr>
        <w:pStyle w:val="NormalWeb"/>
        <w:numPr>
          <w:ilvl w:val="0"/>
          <w:numId w:val="2"/>
        </w:numPr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Verdana" w:hAnsi="Verdana"/>
          <w:sz w:val="20"/>
          <w:szCs w:val="20"/>
        </w:rPr>
      </w:pPr>
      <w:r w:rsidRPr="00CA5CEA">
        <w:rPr>
          <w:rFonts w:ascii="Verdana" w:eastAsiaTheme="minorEastAsia" w:hAnsi="Verdana" w:cstheme="minorBidi"/>
          <w:bCs/>
          <w:color w:val="000000" w:themeColor="text1"/>
          <w:kern w:val="24"/>
          <w:sz w:val="20"/>
          <w:szCs w:val="20"/>
          <w:lang w:val="bg-BG"/>
        </w:rPr>
        <w:t xml:space="preserve">Липса на сътрудничество с </w:t>
      </w:r>
      <w:r w:rsidR="00CA5CEA" w:rsidRPr="00CA5CEA">
        <w:rPr>
          <w:rFonts w:ascii="Verdana" w:eastAsiaTheme="minorEastAsia" w:hAnsi="Verdana" w:cstheme="minorBidi"/>
          <w:bCs/>
          <w:color w:val="000000" w:themeColor="text1"/>
          <w:kern w:val="24"/>
          <w:sz w:val="20"/>
          <w:szCs w:val="20"/>
          <w:lang w:val="bg-BG"/>
        </w:rPr>
        <w:t>подготвени външни организации от неправителствения сектор</w:t>
      </w:r>
      <w:r w:rsidRPr="00CA5CEA">
        <w:rPr>
          <w:rFonts w:ascii="Verdana" w:eastAsiaTheme="minorEastAsia" w:hAnsi="Verdana" w:cstheme="minorBidi"/>
          <w:bCs/>
          <w:color w:val="000000" w:themeColor="text1"/>
          <w:kern w:val="24"/>
          <w:sz w:val="20"/>
          <w:szCs w:val="20"/>
          <w:lang w:val="bg-BG"/>
        </w:rPr>
        <w:t>, предлагащи подобни услуги;</w:t>
      </w:r>
    </w:p>
    <w:p w:rsidR="00230455" w:rsidRPr="00CA5CEA" w:rsidRDefault="00230455" w:rsidP="00CA5CEA">
      <w:pPr>
        <w:pStyle w:val="NormalWeb"/>
        <w:numPr>
          <w:ilvl w:val="0"/>
          <w:numId w:val="2"/>
        </w:numPr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Verdana" w:hAnsi="Verdana"/>
          <w:sz w:val="20"/>
          <w:szCs w:val="20"/>
        </w:rPr>
      </w:pPr>
      <w:r w:rsidRPr="00CA5CEA">
        <w:rPr>
          <w:rFonts w:ascii="Verdana" w:eastAsiaTheme="minorEastAsia" w:hAnsi="Verdana" w:cstheme="minorBidi"/>
          <w:bCs/>
          <w:color w:val="000000" w:themeColor="text1"/>
          <w:kern w:val="24"/>
          <w:sz w:val="20"/>
          <w:szCs w:val="20"/>
          <w:lang w:val="bg-BG"/>
        </w:rPr>
        <w:t>Продължителност на съпътстващите мерки;</w:t>
      </w:r>
    </w:p>
    <w:p w:rsidR="00230455" w:rsidRPr="00CA5CEA" w:rsidRDefault="00230455" w:rsidP="00CA5CEA">
      <w:pPr>
        <w:pStyle w:val="NormalWeb"/>
        <w:numPr>
          <w:ilvl w:val="0"/>
          <w:numId w:val="2"/>
        </w:numPr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Verdana" w:hAnsi="Verdana"/>
          <w:sz w:val="20"/>
          <w:szCs w:val="20"/>
        </w:rPr>
      </w:pPr>
      <w:r w:rsidRPr="00CA5CEA">
        <w:rPr>
          <w:rFonts w:ascii="Verdana" w:eastAsiaTheme="minorEastAsia" w:hAnsi="Verdana" w:cstheme="minorBidi"/>
          <w:bCs/>
          <w:color w:val="000000" w:themeColor="text1"/>
          <w:kern w:val="24"/>
          <w:sz w:val="20"/>
          <w:szCs w:val="20"/>
          <w:lang w:val="bg-BG"/>
        </w:rPr>
        <w:t>Разглеждане на множеството проблеми, възникнали за крайните получатели;</w:t>
      </w:r>
    </w:p>
    <w:p w:rsidR="00230455" w:rsidRPr="000B76C6" w:rsidRDefault="00230455" w:rsidP="00CA5CEA">
      <w:pPr>
        <w:pStyle w:val="NormalWeb"/>
        <w:numPr>
          <w:ilvl w:val="0"/>
          <w:numId w:val="2"/>
        </w:numPr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Verdana" w:hAnsi="Verdana"/>
          <w:sz w:val="20"/>
          <w:szCs w:val="20"/>
        </w:rPr>
      </w:pPr>
      <w:r w:rsidRPr="00CA5CEA">
        <w:rPr>
          <w:rFonts w:ascii="Verdana" w:eastAsiaTheme="minorEastAsia" w:hAnsi="Verdana" w:cstheme="minorBidi"/>
          <w:bCs/>
          <w:color w:val="000000" w:themeColor="text1"/>
          <w:kern w:val="24"/>
          <w:sz w:val="20"/>
          <w:szCs w:val="20"/>
          <w:lang w:val="bg-BG"/>
        </w:rPr>
        <w:t>Избягване на стигматизирането на крайните получатели.</w:t>
      </w:r>
    </w:p>
    <w:p w:rsidR="000B76C6" w:rsidRDefault="000B76C6" w:rsidP="000B76C6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Verdana" w:eastAsiaTheme="minorEastAsia" w:hAnsi="Verdana" w:cstheme="minorBidi"/>
          <w:bCs/>
          <w:color w:val="000000" w:themeColor="text1"/>
          <w:kern w:val="24"/>
          <w:sz w:val="20"/>
          <w:szCs w:val="20"/>
          <w:lang w:val="bg-BG"/>
        </w:rPr>
      </w:pPr>
    </w:p>
    <w:p w:rsidR="000B76C6" w:rsidRDefault="000B76C6" w:rsidP="000B76C6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Verdana" w:eastAsiaTheme="minorEastAsia" w:hAnsi="Verdana" w:cstheme="minorBidi"/>
          <w:bCs/>
          <w:color w:val="000000" w:themeColor="text1"/>
          <w:kern w:val="24"/>
          <w:sz w:val="20"/>
          <w:szCs w:val="20"/>
          <w:lang w:val="bg-BG"/>
        </w:rPr>
      </w:pPr>
    </w:p>
    <w:p w:rsidR="000B76C6" w:rsidRPr="00CA5CEA" w:rsidRDefault="000B76C6" w:rsidP="000B76C6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Verdana" w:hAnsi="Verdana"/>
          <w:sz w:val="20"/>
          <w:szCs w:val="20"/>
        </w:rPr>
      </w:pPr>
    </w:p>
    <w:p w:rsidR="00ED0CF5" w:rsidRDefault="00ED0CF5" w:rsidP="00ED0CF5">
      <w:pPr>
        <w:pStyle w:val="NormalWeb"/>
        <w:spacing w:before="0" w:beforeAutospacing="0" w:after="0" w:afterAutospacing="0"/>
        <w:jc w:val="center"/>
        <w:textAlignment w:val="baseline"/>
        <w:rPr>
          <w:rFonts w:ascii="Verdana" w:hAnsi="Verdana"/>
          <w:b/>
          <w:sz w:val="20"/>
          <w:szCs w:val="20"/>
          <w:lang w:val="bg-BG"/>
        </w:rPr>
      </w:pPr>
    </w:p>
    <w:p w:rsidR="00ED0CF5" w:rsidRPr="001424D6" w:rsidRDefault="00ED0CF5" w:rsidP="00ED0CF5">
      <w:pPr>
        <w:pStyle w:val="NormalWeb"/>
        <w:spacing w:before="0" w:beforeAutospacing="0" w:after="0" w:afterAutospacing="0"/>
        <w:jc w:val="center"/>
        <w:textAlignment w:val="baseline"/>
        <w:rPr>
          <w:rFonts w:ascii="Verdana" w:hAnsi="Verdana"/>
          <w:sz w:val="20"/>
          <w:szCs w:val="20"/>
          <w:lang w:val="bg-BG"/>
        </w:rPr>
      </w:pPr>
    </w:p>
    <w:p w:rsidR="00ED0CF5" w:rsidRDefault="002D2216" w:rsidP="00ED0CF5">
      <w:pPr>
        <w:pStyle w:val="NormalWeb"/>
        <w:spacing w:before="0" w:beforeAutospacing="0" w:after="0" w:afterAutospacing="0"/>
        <w:jc w:val="both"/>
        <w:textAlignment w:val="baseline"/>
        <w:rPr>
          <w:rFonts w:ascii="Verdana" w:eastAsiaTheme="minorEastAsia" w:hAnsi="Verdana"/>
          <w:b/>
          <w:bCs/>
          <w:kern w:val="24"/>
          <w:sz w:val="20"/>
          <w:szCs w:val="20"/>
          <w:lang w:val="bg-BG"/>
          <w14:shadow w14:blurRad="38100" w14:dist="38100" w14:dir="2700000" w14:sx="100000" w14:sy="100000" w14:kx="0" w14:ky="0" w14:algn="tl">
            <w14:srgbClr w14:val="C0C0C0"/>
          </w14:shadow>
        </w:rPr>
      </w:pPr>
      <w:r w:rsidRPr="001424D6">
        <w:rPr>
          <w:rFonts w:ascii="Verdana" w:hAnsi="Verdana"/>
          <w:b/>
          <w:sz w:val="20"/>
          <w:szCs w:val="20"/>
        </w:rPr>
        <w:t>VII.</w:t>
      </w:r>
      <w:r w:rsidR="00ED0CF5" w:rsidRPr="001424D6">
        <w:rPr>
          <w:rFonts w:ascii="Georgia" w:eastAsiaTheme="minorEastAsia" w:hAnsi="Georgia"/>
          <w:b/>
          <w:bCs/>
          <w:shadow/>
          <w:color w:val="C0504D" w:themeColor="accent2"/>
          <w:kern w:val="24"/>
          <w:sz w:val="48"/>
          <w:szCs w:val="48"/>
          <w:lang w:val="bg-BG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="00ED0CF5" w:rsidRPr="001424D6">
        <w:rPr>
          <w:rFonts w:ascii="Verdana" w:eastAsiaTheme="minorEastAsia" w:hAnsi="Verdana"/>
          <w:b/>
          <w:bCs/>
          <w:kern w:val="24"/>
          <w:sz w:val="20"/>
          <w:szCs w:val="20"/>
          <w:lang w:val="bg-BG"/>
          <w14:shadow w14:blurRad="38100" w14:dist="38100" w14:dir="2700000" w14:sx="100000" w14:sy="100000" w14:kx="0" w14:ky="0" w14:algn="tl">
            <w14:srgbClr w14:val="C0C0C0"/>
          </w14:shadow>
        </w:rPr>
        <w:t>Основни фактори за успех при прилагането на съпътстващи мерки по Фонда за европейско подпомагане на най – нуждаещите се лица</w:t>
      </w:r>
    </w:p>
    <w:p w:rsidR="001424D6" w:rsidRDefault="001424D6" w:rsidP="00ED0CF5">
      <w:pPr>
        <w:pStyle w:val="NormalWeb"/>
        <w:spacing w:before="0" w:beforeAutospacing="0" w:after="0" w:afterAutospacing="0"/>
        <w:jc w:val="both"/>
        <w:textAlignment w:val="baseline"/>
        <w:rPr>
          <w:rFonts w:ascii="Verdana" w:eastAsiaTheme="minorEastAsia" w:hAnsi="Verdana"/>
          <w:b/>
          <w:bCs/>
          <w:kern w:val="24"/>
          <w:sz w:val="20"/>
          <w:szCs w:val="20"/>
          <w:lang w:val="bg-BG"/>
          <w14:shadow w14:blurRad="38100" w14:dist="38100" w14:dir="2700000" w14:sx="100000" w14:sy="100000" w14:kx="0" w14:ky="0" w14:algn="tl">
            <w14:srgbClr w14:val="C0C0C0"/>
          </w14:shadow>
        </w:rPr>
      </w:pPr>
    </w:p>
    <w:p w:rsidR="001424D6" w:rsidRPr="001210D2" w:rsidRDefault="001424D6" w:rsidP="001210D2">
      <w:pPr>
        <w:pStyle w:val="NormalWeb"/>
        <w:numPr>
          <w:ilvl w:val="0"/>
          <w:numId w:val="30"/>
        </w:numPr>
        <w:kinsoku w:val="0"/>
        <w:overflowPunct w:val="0"/>
        <w:spacing w:before="0" w:beforeAutospacing="0" w:after="0" w:afterAutospacing="0" w:line="360" w:lineRule="auto"/>
        <w:ind w:left="0" w:firstLine="0"/>
        <w:textAlignment w:val="baseline"/>
        <w:rPr>
          <w:rFonts w:ascii="Verdana" w:hAnsi="Verdana"/>
          <w:sz w:val="20"/>
          <w:szCs w:val="20"/>
        </w:rPr>
      </w:pPr>
      <w:r w:rsidRPr="001210D2">
        <w:rPr>
          <w:rFonts w:ascii="Verdana" w:eastAsiaTheme="minorEastAsia" w:hAnsi="Verdana" w:cstheme="minorBidi"/>
          <w:bCs/>
          <w:color w:val="000000" w:themeColor="text1"/>
          <w:kern w:val="24"/>
          <w:sz w:val="20"/>
          <w:szCs w:val="20"/>
          <w:lang w:val="bg-BG"/>
        </w:rPr>
        <w:t>По-добро сътрудничество с НПО, които вече предлагат допълнителни услуги (потенциално създаване на мрежа от доставчици на социални услуги);</w:t>
      </w:r>
    </w:p>
    <w:p w:rsidR="001424D6" w:rsidRPr="001210D2" w:rsidRDefault="001424D6" w:rsidP="001210D2">
      <w:pPr>
        <w:pStyle w:val="NormalWeb"/>
        <w:numPr>
          <w:ilvl w:val="0"/>
          <w:numId w:val="30"/>
        </w:numPr>
        <w:kinsoku w:val="0"/>
        <w:overflowPunct w:val="0"/>
        <w:spacing w:before="0" w:beforeAutospacing="0" w:after="0" w:afterAutospacing="0" w:line="360" w:lineRule="auto"/>
        <w:ind w:left="0" w:firstLine="0"/>
        <w:textAlignment w:val="baseline"/>
        <w:rPr>
          <w:rFonts w:ascii="Verdana" w:hAnsi="Verdana"/>
          <w:sz w:val="20"/>
          <w:szCs w:val="20"/>
        </w:rPr>
      </w:pPr>
      <w:r w:rsidRPr="001210D2">
        <w:rPr>
          <w:rFonts w:ascii="Verdana" w:eastAsiaTheme="minorEastAsia" w:hAnsi="Verdana" w:cstheme="minorBidi"/>
          <w:bCs/>
          <w:color w:val="000000" w:themeColor="text1"/>
          <w:kern w:val="24"/>
          <w:sz w:val="20"/>
          <w:szCs w:val="20"/>
          <w:lang w:val="bg-BG"/>
        </w:rPr>
        <w:t>Повишаване на осведомеността относно наличните услуги (чрез информационни системи или бюра за помощ);</w:t>
      </w:r>
    </w:p>
    <w:p w:rsidR="001424D6" w:rsidRPr="001210D2" w:rsidRDefault="001424D6" w:rsidP="000B76C6">
      <w:pPr>
        <w:pStyle w:val="NormalWeb"/>
        <w:numPr>
          <w:ilvl w:val="1"/>
          <w:numId w:val="30"/>
        </w:numPr>
        <w:kinsoku w:val="0"/>
        <w:overflowPunct w:val="0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="Verdana" w:hAnsi="Verdana"/>
          <w:sz w:val="20"/>
          <w:szCs w:val="20"/>
        </w:rPr>
      </w:pPr>
      <w:r w:rsidRPr="001210D2">
        <w:rPr>
          <w:rFonts w:ascii="Verdana" w:eastAsiaTheme="minorEastAsia" w:hAnsi="Verdana" w:cstheme="minorBidi"/>
          <w:bCs/>
          <w:color w:val="000000" w:themeColor="text1"/>
          <w:kern w:val="24"/>
          <w:sz w:val="20"/>
          <w:szCs w:val="20"/>
          <w:lang w:val="bg-BG"/>
        </w:rPr>
        <w:t xml:space="preserve">Активно обучение и подкрепа на доброволци, за да </w:t>
      </w:r>
      <w:r w:rsidR="001210D2">
        <w:rPr>
          <w:rFonts w:ascii="Verdana" w:eastAsiaTheme="minorEastAsia" w:hAnsi="Verdana" w:cstheme="minorBidi"/>
          <w:bCs/>
          <w:color w:val="000000" w:themeColor="text1"/>
          <w:kern w:val="24"/>
          <w:sz w:val="20"/>
          <w:szCs w:val="20"/>
          <w:lang w:val="bg-BG"/>
        </w:rPr>
        <w:t>се насърчи</w:t>
      </w:r>
      <w:r w:rsidRPr="001210D2">
        <w:rPr>
          <w:rFonts w:ascii="Verdana" w:eastAsiaTheme="minorEastAsia" w:hAnsi="Verdana" w:cstheme="minorBidi"/>
          <w:bCs/>
          <w:color w:val="000000" w:themeColor="text1"/>
          <w:kern w:val="24"/>
          <w:sz w:val="20"/>
          <w:szCs w:val="20"/>
          <w:lang w:val="bg-BG"/>
        </w:rPr>
        <w:t xml:space="preserve"> тяхното участие в предлагането на съпътстващи мерки;</w:t>
      </w:r>
    </w:p>
    <w:p w:rsidR="001424D6" w:rsidRPr="001210D2" w:rsidRDefault="001424D6" w:rsidP="000B76C6">
      <w:pPr>
        <w:pStyle w:val="NormalWeb"/>
        <w:numPr>
          <w:ilvl w:val="0"/>
          <w:numId w:val="30"/>
        </w:numPr>
        <w:kinsoku w:val="0"/>
        <w:overflowPunct w:val="0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="Verdana" w:hAnsi="Verdana"/>
          <w:sz w:val="20"/>
          <w:szCs w:val="20"/>
        </w:rPr>
      </w:pPr>
      <w:r w:rsidRPr="001210D2">
        <w:rPr>
          <w:rFonts w:ascii="Verdana" w:eastAsiaTheme="minorEastAsia" w:hAnsi="Verdana" w:cstheme="minorBidi"/>
          <w:bCs/>
          <w:color w:val="000000" w:themeColor="text1"/>
          <w:kern w:val="24"/>
          <w:sz w:val="20"/>
          <w:szCs w:val="20"/>
          <w:lang w:val="bg-BG"/>
        </w:rPr>
        <w:t>Използване на "личен подход" за предоставяне на съпътстващи мерки, тъй като всеки краен получател има различни потребности;</w:t>
      </w:r>
    </w:p>
    <w:p w:rsidR="001424D6" w:rsidRPr="001210D2" w:rsidRDefault="001424D6" w:rsidP="000B76C6">
      <w:pPr>
        <w:pStyle w:val="NormalWeb"/>
        <w:numPr>
          <w:ilvl w:val="0"/>
          <w:numId w:val="30"/>
        </w:numPr>
        <w:kinsoku w:val="0"/>
        <w:overflowPunct w:val="0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="Verdana" w:hAnsi="Verdana"/>
          <w:sz w:val="20"/>
          <w:szCs w:val="20"/>
        </w:rPr>
      </w:pPr>
      <w:r w:rsidRPr="001210D2">
        <w:rPr>
          <w:rFonts w:ascii="Verdana" w:eastAsiaTheme="minorEastAsia" w:hAnsi="Verdana" w:cstheme="minorBidi"/>
          <w:bCs/>
          <w:color w:val="000000" w:themeColor="text1"/>
          <w:kern w:val="24"/>
          <w:sz w:val="20"/>
          <w:szCs w:val="20"/>
          <w:lang w:val="bg-BG"/>
        </w:rPr>
        <w:t>Активно включване на крайните получатели при определяне на техните нужди по отношение на съпътстващите мерки;</w:t>
      </w:r>
    </w:p>
    <w:p w:rsidR="001424D6" w:rsidRPr="001210D2" w:rsidRDefault="001424D6" w:rsidP="000B76C6">
      <w:pPr>
        <w:pStyle w:val="NormalWeb"/>
        <w:numPr>
          <w:ilvl w:val="1"/>
          <w:numId w:val="30"/>
        </w:numPr>
        <w:kinsoku w:val="0"/>
        <w:overflowPunct w:val="0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="Verdana" w:hAnsi="Verdana"/>
          <w:sz w:val="20"/>
          <w:szCs w:val="20"/>
        </w:rPr>
      </w:pPr>
      <w:r w:rsidRPr="001210D2">
        <w:rPr>
          <w:rFonts w:ascii="Verdana" w:eastAsiaTheme="minorEastAsia" w:hAnsi="Verdana" w:cstheme="minorBidi"/>
          <w:bCs/>
          <w:color w:val="000000" w:themeColor="text1"/>
          <w:kern w:val="24"/>
          <w:sz w:val="20"/>
          <w:szCs w:val="20"/>
          <w:lang w:val="bg-BG"/>
        </w:rPr>
        <w:t>По-добри връзки със съответните проекти на ЕСФ;</w:t>
      </w:r>
    </w:p>
    <w:p w:rsidR="001424D6" w:rsidRPr="001210D2" w:rsidRDefault="001424D6" w:rsidP="000B76C6">
      <w:pPr>
        <w:pStyle w:val="NormalWeb"/>
        <w:numPr>
          <w:ilvl w:val="1"/>
          <w:numId w:val="30"/>
        </w:numPr>
        <w:kinsoku w:val="0"/>
        <w:overflowPunct w:val="0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="Verdana" w:hAnsi="Verdana"/>
          <w:sz w:val="20"/>
          <w:szCs w:val="20"/>
        </w:rPr>
      </w:pPr>
      <w:r w:rsidRPr="001210D2">
        <w:rPr>
          <w:rFonts w:ascii="Verdana" w:eastAsiaTheme="minorEastAsia" w:hAnsi="Verdana" w:cstheme="minorBidi"/>
          <w:bCs/>
          <w:color w:val="000000" w:themeColor="text1"/>
          <w:kern w:val="24"/>
          <w:sz w:val="20"/>
          <w:szCs w:val="20"/>
          <w:lang w:val="bg-BG"/>
        </w:rPr>
        <w:t>Събиране и разпространение на мерките от ЕСФ за допълване дейностите на ФЕПНЛ.</w:t>
      </w:r>
    </w:p>
    <w:p w:rsidR="001424D6" w:rsidRDefault="001424D6" w:rsidP="001210D2">
      <w:pPr>
        <w:tabs>
          <w:tab w:val="left" w:pos="7740"/>
        </w:tabs>
        <w:kinsoku w:val="0"/>
        <w:overflowPunct w:val="0"/>
        <w:spacing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1424D6" w:rsidRDefault="001424D6" w:rsidP="000B272B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Verdana" w:eastAsiaTheme="minorEastAsia" w:hAnsi="Verdana"/>
          <w:b/>
          <w:bCs/>
          <w:kern w:val="24"/>
          <w:sz w:val="20"/>
          <w:szCs w:val="20"/>
          <w14:shadow w14:blurRad="38100" w14:dist="38100" w14:dir="2700000" w14:sx="100000" w14:sy="100000" w14:kx="0" w14:ky="0" w14:algn="tl">
            <w14:srgbClr w14:val="C0C0C0"/>
          </w14:shadow>
        </w:rPr>
      </w:pPr>
      <w:r w:rsidRPr="001424D6">
        <w:rPr>
          <w:rFonts w:ascii="Verdana" w:hAnsi="Verdana"/>
          <w:b/>
          <w:sz w:val="20"/>
          <w:szCs w:val="20"/>
        </w:rPr>
        <w:t>VIII.</w:t>
      </w:r>
      <w:r w:rsidRPr="001424D6">
        <w:rPr>
          <w:rFonts w:ascii="Georgia" w:eastAsiaTheme="minorEastAsia" w:hAnsi="Georgia"/>
          <w:b/>
          <w:bCs/>
          <w:shadow/>
          <w:color w:val="C0504D" w:themeColor="accent2"/>
          <w:kern w:val="24"/>
          <w:sz w:val="48"/>
          <w:szCs w:val="48"/>
          <w:lang w:val="bg-BG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Pr="001424D6">
        <w:rPr>
          <w:rFonts w:ascii="Verdana" w:eastAsiaTheme="minorEastAsia" w:hAnsi="Verdana"/>
          <w:b/>
          <w:bCs/>
          <w:kern w:val="24"/>
          <w:sz w:val="20"/>
          <w:szCs w:val="20"/>
          <w:lang w:val="bg-BG"/>
          <w14:shadow w14:blurRad="38100" w14:dist="38100" w14:dir="2700000" w14:sx="100000" w14:sy="100000" w14:kx="0" w14:ky="0" w14:algn="tl">
            <w14:srgbClr w14:val="C0C0C0"/>
          </w14:shadow>
        </w:rPr>
        <w:t>Отчитане на предоставените съпътстващи мерки по Фонда за европейско подпомагане на най – нуждаещите се лица</w:t>
      </w:r>
    </w:p>
    <w:p w:rsidR="001424D6" w:rsidRPr="001424D6" w:rsidRDefault="001424D6" w:rsidP="000B272B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Verdana" w:hAnsi="Verdana"/>
          <w:b/>
          <w:sz w:val="20"/>
          <w:szCs w:val="20"/>
        </w:rPr>
      </w:pPr>
    </w:p>
    <w:p w:rsidR="005A6A57" w:rsidRPr="007D508E" w:rsidRDefault="005A6A57" w:rsidP="000B272B">
      <w:pPr>
        <w:suppressAutoHyphens/>
        <w:spacing w:after="0" w:line="360" w:lineRule="auto"/>
        <w:ind w:firstLine="720"/>
        <w:jc w:val="both"/>
        <w:rPr>
          <w:rFonts w:ascii="Verdana" w:eastAsia="Calibri" w:hAnsi="Verdana" w:cs="Times New Roman"/>
          <w:color w:val="000000"/>
          <w:sz w:val="20"/>
          <w:szCs w:val="20"/>
          <w:lang w:val="ru-RU" w:eastAsia="bg-BG"/>
        </w:rPr>
      </w:pPr>
      <w:r w:rsidRPr="007D508E">
        <w:rPr>
          <w:rFonts w:ascii="Verdana" w:eastAsia="Calibri" w:hAnsi="Verdana" w:cs="Times New Roman"/>
          <w:bCs/>
          <w:sz w:val="20"/>
          <w:szCs w:val="20"/>
          <w:lang w:val="bg-BG" w:eastAsia="bg-BG"/>
        </w:rPr>
        <w:t>Отчитането на разходите за съпътстващи мерки</w:t>
      </w:r>
      <w:r w:rsidRPr="007D508E">
        <w:rPr>
          <w:rFonts w:ascii="Verdana" w:eastAsia="Calibri" w:hAnsi="Verdana" w:cs="Times New Roman"/>
          <w:sz w:val="20"/>
          <w:szCs w:val="20"/>
        </w:rPr>
        <w:t xml:space="preserve">, </w:t>
      </w:r>
      <w:proofErr w:type="spellStart"/>
      <w:r w:rsidRPr="007D508E">
        <w:rPr>
          <w:rFonts w:ascii="Verdana" w:eastAsia="Calibri" w:hAnsi="Verdana" w:cs="Times New Roman"/>
          <w:sz w:val="20"/>
          <w:szCs w:val="20"/>
        </w:rPr>
        <w:t>предприети</w:t>
      </w:r>
      <w:proofErr w:type="spellEnd"/>
      <w:r w:rsidRPr="007D508E">
        <w:rPr>
          <w:rFonts w:ascii="Verdana" w:eastAsia="Calibri" w:hAnsi="Verdana" w:cs="Times New Roman"/>
          <w:sz w:val="20"/>
          <w:szCs w:val="20"/>
        </w:rPr>
        <w:t xml:space="preserve"> и </w:t>
      </w:r>
      <w:proofErr w:type="spellStart"/>
      <w:r w:rsidRPr="007D508E">
        <w:rPr>
          <w:rFonts w:ascii="Verdana" w:eastAsia="Calibri" w:hAnsi="Verdana" w:cs="Times New Roman"/>
          <w:sz w:val="20"/>
          <w:szCs w:val="20"/>
        </w:rPr>
        <w:t>декларирани</w:t>
      </w:r>
      <w:proofErr w:type="spellEnd"/>
      <w:r w:rsidRPr="007D508E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7D508E">
        <w:rPr>
          <w:rFonts w:ascii="Verdana" w:eastAsia="Calibri" w:hAnsi="Verdana" w:cs="Times New Roman"/>
          <w:sz w:val="20"/>
          <w:szCs w:val="20"/>
        </w:rPr>
        <w:t>от</w:t>
      </w:r>
      <w:proofErr w:type="spellEnd"/>
      <w:r w:rsidRPr="007D508E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7D508E">
        <w:rPr>
          <w:rFonts w:ascii="Verdana" w:eastAsia="Calibri" w:hAnsi="Verdana" w:cs="Times New Roman"/>
          <w:sz w:val="20"/>
          <w:szCs w:val="20"/>
        </w:rPr>
        <w:t>партньорските</w:t>
      </w:r>
      <w:proofErr w:type="spellEnd"/>
      <w:r w:rsidRPr="007D508E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7D508E">
        <w:rPr>
          <w:rFonts w:ascii="Verdana" w:eastAsia="Calibri" w:hAnsi="Verdana" w:cs="Times New Roman"/>
          <w:sz w:val="20"/>
          <w:szCs w:val="20"/>
        </w:rPr>
        <w:t>организации</w:t>
      </w:r>
      <w:proofErr w:type="spellEnd"/>
      <w:r w:rsidRPr="007D508E">
        <w:rPr>
          <w:rFonts w:ascii="Verdana" w:eastAsia="Calibri" w:hAnsi="Verdana" w:cs="Times New Roman"/>
          <w:sz w:val="20"/>
          <w:szCs w:val="20"/>
        </w:rPr>
        <w:t xml:space="preserve">, </w:t>
      </w:r>
      <w:proofErr w:type="spellStart"/>
      <w:r w:rsidRPr="007D508E">
        <w:rPr>
          <w:rFonts w:ascii="Verdana" w:eastAsia="Calibri" w:hAnsi="Verdana" w:cs="Times New Roman"/>
          <w:sz w:val="20"/>
          <w:szCs w:val="20"/>
        </w:rPr>
        <w:t>които</w:t>
      </w:r>
      <w:proofErr w:type="spellEnd"/>
      <w:r w:rsidRPr="007D508E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7D508E">
        <w:rPr>
          <w:rFonts w:ascii="Verdana" w:eastAsia="Calibri" w:hAnsi="Verdana" w:cs="Times New Roman"/>
          <w:sz w:val="20"/>
          <w:szCs w:val="20"/>
        </w:rPr>
        <w:t>доставят</w:t>
      </w:r>
      <w:proofErr w:type="spellEnd"/>
      <w:r w:rsidRPr="007D508E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7D508E">
        <w:rPr>
          <w:rFonts w:ascii="Verdana" w:eastAsia="Calibri" w:hAnsi="Verdana" w:cs="Times New Roman"/>
          <w:sz w:val="20"/>
          <w:szCs w:val="20"/>
        </w:rPr>
        <w:t>храните</w:t>
      </w:r>
      <w:proofErr w:type="spellEnd"/>
      <w:r w:rsidRPr="007D508E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7D508E">
        <w:rPr>
          <w:rFonts w:ascii="Verdana" w:eastAsia="Calibri" w:hAnsi="Verdana" w:cs="Times New Roman"/>
          <w:sz w:val="20"/>
          <w:szCs w:val="20"/>
        </w:rPr>
        <w:t>на</w:t>
      </w:r>
      <w:proofErr w:type="spellEnd"/>
      <w:r w:rsidRPr="007D508E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7D508E">
        <w:rPr>
          <w:rFonts w:ascii="Verdana" w:eastAsia="Calibri" w:hAnsi="Verdana" w:cs="Times New Roman"/>
          <w:sz w:val="20"/>
          <w:szCs w:val="20"/>
        </w:rPr>
        <w:t>най-нуждаещите</w:t>
      </w:r>
      <w:proofErr w:type="spellEnd"/>
      <w:r w:rsidRPr="007D508E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7D508E">
        <w:rPr>
          <w:rFonts w:ascii="Verdana" w:eastAsia="Calibri" w:hAnsi="Verdana" w:cs="Times New Roman"/>
          <w:sz w:val="20"/>
          <w:szCs w:val="20"/>
        </w:rPr>
        <w:t>се</w:t>
      </w:r>
      <w:proofErr w:type="spellEnd"/>
      <w:r w:rsidRPr="007D508E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7D508E">
        <w:rPr>
          <w:rFonts w:ascii="Verdana" w:eastAsia="Calibri" w:hAnsi="Verdana" w:cs="Times New Roman"/>
          <w:sz w:val="20"/>
          <w:szCs w:val="20"/>
        </w:rPr>
        <w:t>лица</w:t>
      </w:r>
      <w:proofErr w:type="spellEnd"/>
      <w:r w:rsidRPr="007D508E">
        <w:rPr>
          <w:rFonts w:ascii="Verdana" w:eastAsia="Calibri" w:hAnsi="Verdana" w:cs="Times New Roman"/>
          <w:sz w:val="20"/>
          <w:szCs w:val="20"/>
          <w:lang w:val="bg-BG"/>
        </w:rPr>
        <w:t xml:space="preserve"> е описано в </w:t>
      </w:r>
      <w:proofErr w:type="spellStart"/>
      <w:r w:rsidRPr="007D508E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Ръководство</w:t>
      </w:r>
      <w:proofErr w:type="spellEnd"/>
      <w:r w:rsidRPr="007D508E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bg-BG"/>
        </w:rPr>
        <w:t>то</w:t>
      </w:r>
      <w:r w:rsidRPr="007D508E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D508E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на</w:t>
      </w:r>
      <w:proofErr w:type="spellEnd"/>
      <w:r w:rsidRPr="007D508E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D508E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бенефициента</w:t>
      </w:r>
      <w:proofErr w:type="spellEnd"/>
      <w:r w:rsidRPr="007D508E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D508E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за</w:t>
      </w:r>
      <w:proofErr w:type="spellEnd"/>
      <w:r w:rsidRPr="007D508E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D508E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изпълнение</w:t>
      </w:r>
      <w:proofErr w:type="spellEnd"/>
      <w:r w:rsidRPr="007D508E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7D508E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управление</w:t>
      </w:r>
      <w:proofErr w:type="spellEnd"/>
      <w:r w:rsidRPr="007D508E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D508E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на</w:t>
      </w:r>
      <w:proofErr w:type="spellEnd"/>
      <w:r w:rsidRPr="007D508E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D508E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договори</w:t>
      </w:r>
      <w:proofErr w:type="spellEnd"/>
      <w:r w:rsidRPr="007D508E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D508E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по</w:t>
      </w:r>
      <w:proofErr w:type="spellEnd"/>
      <w:r w:rsidRPr="007D508E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D508E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операция</w:t>
      </w:r>
      <w:proofErr w:type="spellEnd"/>
      <w:r w:rsidRPr="007D508E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D508E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тип</w:t>
      </w:r>
      <w:proofErr w:type="spellEnd"/>
      <w:r w:rsidRPr="007D508E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3 "</w:t>
      </w:r>
      <w:proofErr w:type="spellStart"/>
      <w:r w:rsidRPr="007D508E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Осигуряване</w:t>
      </w:r>
      <w:proofErr w:type="spellEnd"/>
      <w:r w:rsidRPr="007D508E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D508E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на</w:t>
      </w:r>
      <w:proofErr w:type="spellEnd"/>
      <w:r w:rsidRPr="007D508E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D508E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топъл</w:t>
      </w:r>
      <w:proofErr w:type="spellEnd"/>
      <w:r w:rsidRPr="007D508E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D508E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обяд</w:t>
      </w:r>
      <w:proofErr w:type="spellEnd"/>
      <w:r w:rsid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bg-BG"/>
        </w:rPr>
        <w:t xml:space="preserve"> 2016 гт. – 2019 г.</w:t>
      </w:r>
      <w:r w:rsidRPr="007D508E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"</w:t>
      </w:r>
      <w:r w:rsidRPr="007D508E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bg-BG"/>
        </w:rPr>
        <w:t>.</w:t>
      </w:r>
    </w:p>
    <w:p w:rsidR="000B272B" w:rsidRPr="000B272B" w:rsidRDefault="000B272B" w:rsidP="000B76C6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my-MM"/>
        </w:rPr>
      </w:pPr>
      <w:r w:rsidRPr="000B272B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my-MM"/>
        </w:rPr>
        <w:t>При планиране и предоставяне на съпътстващи мерки партньорската организация – бенефициент би могла да се съобрази с дадените насоки в Методическо указание за предоставяне и отчитане на съпътстващи мерки по Операцията / Приложение № 19</w:t>
      </w:r>
      <w:r w:rsidRP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bg-BG"/>
        </w:rPr>
        <w:t xml:space="preserve">към Раздел Б на </w:t>
      </w:r>
      <w:proofErr w:type="spellStart"/>
      <w:r w:rsidRP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Ръководство</w:t>
      </w:r>
      <w:proofErr w:type="spellEnd"/>
      <w:r w:rsidRP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bg-BG"/>
        </w:rPr>
        <w:t>то</w:t>
      </w:r>
      <w:r w:rsidRP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на</w:t>
      </w:r>
      <w:proofErr w:type="spellEnd"/>
      <w:r w:rsidRP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бенефициента</w:t>
      </w:r>
      <w:proofErr w:type="spellEnd"/>
      <w:r w:rsidRP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за</w:t>
      </w:r>
      <w:proofErr w:type="spellEnd"/>
      <w:r w:rsidRP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изпълнение</w:t>
      </w:r>
      <w:proofErr w:type="spellEnd"/>
      <w:r w:rsidRP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управление</w:t>
      </w:r>
      <w:proofErr w:type="spellEnd"/>
      <w:r w:rsidRP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на</w:t>
      </w:r>
      <w:proofErr w:type="spellEnd"/>
      <w:r w:rsidRP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договори</w:t>
      </w:r>
      <w:proofErr w:type="spellEnd"/>
      <w:r w:rsidRP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по</w:t>
      </w:r>
      <w:proofErr w:type="spellEnd"/>
      <w:r w:rsidRP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операция</w:t>
      </w:r>
      <w:proofErr w:type="spellEnd"/>
      <w:r w:rsidRP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тип</w:t>
      </w:r>
      <w:proofErr w:type="spellEnd"/>
      <w:r w:rsidRP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3 "</w:t>
      </w:r>
      <w:proofErr w:type="spellStart"/>
      <w:r w:rsidRP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Осигуряване</w:t>
      </w:r>
      <w:proofErr w:type="spellEnd"/>
      <w:r w:rsidRP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на</w:t>
      </w:r>
      <w:proofErr w:type="spellEnd"/>
      <w:r w:rsidRP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топъл</w:t>
      </w:r>
      <w:proofErr w:type="spellEnd"/>
      <w:r w:rsidRP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обяд</w:t>
      </w:r>
      <w:proofErr w:type="spellEnd"/>
      <w:r w:rsidRP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bg-BG"/>
        </w:rPr>
        <w:t xml:space="preserve"> 2016 гт. – 2019 г.</w:t>
      </w:r>
      <w:r w:rsidRPr="000B272B">
        <w:rPr>
          <w:rFonts w:ascii="Verdana" w:eastAsia="Calibri" w:hAnsi="Verdana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"</w:t>
      </w:r>
      <w:r w:rsidRPr="000B272B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my-MM"/>
        </w:rPr>
        <w:t xml:space="preserve">/. </w:t>
      </w:r>
    </w:p>
    <w:p w:rsidR="00001911" w:rsidRDefault="000B272B" w:rsidP="000B272B">
      <w:pPr>
        <w:kinsoku w:val="0"/>
        <w:overflowPunct w:val="0"/>
        <w:spacing w:line="360" w:lineRule="auto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ab/>
      </w:r>
      <w:r w:rsidR="00204A48" w:rsidRPr="007D508E">
        <w:rPr>
          <w:rFonts w:ascii="Verdana" w:hAnsi="Verdana"/>
          <w:sz w:val="20"/>
          <w:szCs w:val="20"/>
          <w:lang w:val="bg-BG"/>
        </w:rPr>
        <w:t xml:space="preserve">Информацията </w:t>
      </w:r>
      <w:r w:rsidR="001424D6" w:rsidRPr="007D508E">
        <w:rPr>
          <w:rFonts w:ascii="Verdana" w:hAnsi="Verdana"/>
          <w:sz w:val="20"/>
          <w:szCs w:val="20"/>
          <w:lang w:val="bg-BG"/>
        </w:rPr>
        <w:t>з</w:t>
      </w:r>
      <w:r w:rsidR="00204A48" w:rsidRPr="007D508E">
        <w:rPr>
          <w:rFonts w:ascii="Verdana" w:hAnsi="Verdana"/>
          <w:sz w:val="20"/>
          <w:szCs w:val="20"/>
          <w:lang w:val="bg-BG"/>
        </w:rPr>
        <w:t xml:space="preserve">а предоставените съпътстващи мерки декларирани от партньорската организация – бенефициент при представяне на всяко искане за плащане следва да е описана в съответния технически доклад подаден в уеб базираната система ИСУН 2020. Отчитането на изпълнението им се осъществява на база представянето на документални доказателства, като протоколи, доклади от проведени консултации, снимков материал, информационни материали, списъци </w:t>
      </w:r>
      <w:r>
        <w:rPr>
          <w:rFonts w:ascii="Verdana" w:hAnsi="Verdana"/>
          <w:sz w:val="20"/>
          <w:szCs w:val="20"/>
          <w:lang w:val="bg-BG"/>
        </w:rPr>
        <w:t>с участвалите в</w:t>
      </w:r>
      <w:r w:rsidR="00204A48" w:rsidRPr="007D508E">
        <w:rPr>
          <w:rFonts w:ascii="Verdana" w:hAnsi="Verdana"/>
          <w:sz w:val="20"/>
          <w:szCs w:val="20"/>
          <w:lang w:val="bg-BG"/>
        </w:rPr>
        <w:t xml:space="preserve"> групови консултации, формуляри за обратна връзка в частта, касаеща получените съпътстващи ме</w:t>
      </w:r>
      <w:r w:rsidR="00320DC5" w:rsidRPr="007D508E">
        <w:rPr>
          <w:rFonts w:ascii="Verdana" w:hAnsi="Verdana"/>
          <w:sz w:val="20"/>
          <w:szCs w:val="20"/>
          <w:lang w:val="bg-BG"/>
        </w:rPr>
        <w:t>р</w:t>
      </w:r>
      <w:r w:rsidR="00204A48" w:rsidRPr="007D508E">
        <w:rPr>
          <w:rFonts w:ascii="Verdana" w:hAnsi="Verdana"/>
          <w:sz w:val="20"/>
          <w:szCs w:val="20"/>
          <w:lang w:val="bg-BG"/>
        </w:rPr>
        <w:t>ки и други релевантни документи, изготвени от партньорската организация.</w:t>
      </w:r>
    </w:p>
    <w:p w:rsidR="000B76C6" w:rsidRPr="007D508E" w:rsidRDefault="000B76C6" w:rsidP="000B272B">
      <w:pPr>
        <w:kinsoku w:val="0"/>
        <w:overflowPunct w:val="0"/>
        <w:spacing w:line="360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:rsidR="00320DC5" w:rsidRPr="00320DC5" w:rsidRDefault="00320DC5" w:rsidP="007D508E">
      <w:pPr>
        <w:kinsoku w:val="0"/>
        <w:overflowPunct w:val="0"/>
        <w:spacing w:after="0" w:line="360" w:lineRule="auto"/>
        <w:ind w:firstLine="720"/>
        <w:contextualSpacing/>
        <w:jc w:val="both"/>
        <w:textAlignment w:val="baseline"/>
        <w:rPr>
          <w:rFonts w:ascii="Verdana" w:eastAsia="Times New Roman" w:hAnsi="Verdana" w:cs="Times New Roman"/>
          <w:b/>
          <w:i/>
          <w:sz w:val="20"/>
          <w:szCs w:val="20"/>
          <w:u w:val="single"/>
        </w:rPr>
      </w:pPr>
      <w:r w:rsidRPr="00320DC5">
        <w:rPr>
          <w:rFonts w:ascii="Verdana" w:eastAsiaTheme="minorEastAsia" w:hAnsi="Verdana"/>
          <w:b/>
          <w:i/>
          <w:color w:val="000000" w:themeColor="text1"/>
          <w:kern w:val="24"/>
          <w:sz w:val="20"/>
          <w:szCs w:val="20"/>
          <w:u w:val="single"/>
          <w:lang w:val="bg-BG"/>
        </w:rPr>
        <w:t>При възникнали въпроси в процеса на предоставяне и отчитане на съпътстващи мерки партньорск</w:t>
      </w:r>
      <w:r w:rsidR="00910AFF">
        <w:rPr>
          <w:rFonts w:ascii="Verdana" w:eastAsiaTheme="minorEastAsia" w:hAnsi="Verdana"/>
          <w:b/>
          <w:i/>
          <w:color w:val="000000" w:themeColor="text1"/>
          <w:kern w:val="24"/>
          <w:sz w:val="20"/>
          <w:szCs w:val="20"/>
          <w:u w:val="single"/>
          <w:lang w:val="bg-BG"/>
        </w:rPr>
        <w:t>ите</w:t>
      </w:r>
      <w:r w:rsidRPr="00320DC5">
        <w:rPr>
          <w:rFonts w:ascii="Verdana" w:eastAsiaTheme="minorEastAsia" w:hAnsi="Verdana"/>
          <w:b/>
          <w:i/>
          <w:color w:val="000000" w:themeColor="text1"/>
          <w:kern w:val="24"/>
          <w:sz w:val="20"/>
          <w:szCs w:val="20"/>
          <w:u w:val="single"/>
          <w:lang w:val="bg-BG"/>
        </w:rPr>
        <w:t xml:space="preserve"> организаци</w:t>
      </w:r>
      <w:r w:rsidR="00910AFF">
        <w:rPr>
          <w:rFonts w:ascii="Verdana" w:eastAsiaTheme="minorEastAsia" w:hAnsi="Verdana"/>
          <w:b/>
          <w:i/>
          <w:color w:val="000000" w:themeColor="text1"/>
          <w:kern w:val="24"/>
          <w:sz w:val="20"/>
          <w:szCs w:val="20"/>
          <w:u w:val="single"/>
          <w:lang w:val="bg-BG"/>
        </w:rPr>
        <w:t>и</w:t>
      </w:r>
      <w:r w:rsidRPr="00320DC5">
        <w:rPr>
          <w:rFonts w:ascii="Verdana" w:eastAsiaTheme="minorEastAsia" w:hAnsi="Verdana"/>
          <w:b/>
          <w:i/>
          <w:color w:val="000000" w:themeColor="text1"/>
          <w:kern w:val="24"/>
          <w:sz w:val="20"/>
          <w:szCs w:val="20"/>
          <w:u w:val="single"/>
          <w:lang w:val="bg-BG"/>
        </w:rPr>
        <w:t xml:space="preserve"> - </w:t>
      </w:r>
      <w:r w:rsidR="00910AFF">
        <w:rPr>
          <w:rFonts w:ascii="Verdana" w:eastAsiaTheme="minorEastAsia" w:hAnsi="Verdana"/>
          <w:b/>
          <w:i/>
          <w:color w:val="000000" w:themeColor="text1"/>
          <w:kern w:val="24"/>
          <w:sz w:val="20"/>
          <w:szCs w:val="20"/>
          <w:u w:val="single"/>
          <w:lang w:val="bg-BG"/>
        </w:rPr>
        <w:t>общин</w:t>
      </w:r>
      <w:r w:rsidRPr="00320DC5">
        <w:rPr>
          <w:rFonts w:ascii="Verdana" w:eastAsiaTheme="minorEastAsia" w:hAnsi="Verdana"/>
          <w:b/>
          <w:i/>
          <w:color w:val="000000" w:themeColor="text1"/>
          <w:kern w:val="24"/>
          <w:sz w:val="20"/>
          <w:szCs w:val="20"/>
          <w:u w:val="single"/>
          <w:lang w:val="bg-BG"/>
        </w:rPr>
        <w:t xml:space="preserve"> винаги може да се обърне за съдействие към експертите от отдел „Мониторинг и оценка“ на УО на ОП ФЕПНЛ, които са ангажирани пряко с проследяване на процесите по предоставяне и отчитане на резултатите от съпътстващите мерки. </w:t>
      </w:r>
    </w:p>
    <w:p w:rsidR="00992BAF" w:rsidRPr="007D508E" w:rsidRDefault="00ED0CF5" w:rsidP="007D508E">
      <w:pPr>
        <w:tabs>
          <w:tab w:val="left" w:pos="7740"/>
        </w:tabs>
        <w:kinsoku w:val="0"/>
        <w:overflowPunct w:val="0"/>
        <w:spacing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7D508E">
        <w:rPr>
          <w:rFonts w:ascii="Verdana" w:eastAsia="Times New Roman" w:hAnsi="Verdana" w:cs="Times New Roman"/>
          <w:b/>
          <w:sz w:val="20"/>
          <w:szCs w:val="20"/>
        </w:rPr>
        <w:tab/>
      </w:r>
    </w:p>
    <w:p w:rsidR="002D2216" w:rsidRPr="007D508E" w:rsidRDefault="002D2216" w:rsidP="007D508E">
      <w:pPr>
        <w:kinsoku w:val="0"/>
        <w:overflowPunct w:val="0"/>
        <w:spacing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2B0585" w:rsidRDefault="002B0585" w:rsidP="00230455">
      <w:pPr>
        <w:kinsoku w:val="0"/>
        <w:overflowPunct w:val="0"/>
        <w:spacing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</w:p>
    <w:p w:rsidR="00D10289" w:rsidRPr="006E64EE" w:rsidRDefault="00D10289" w:rsidP="00230455">
      <w:pPr>
        <w:kinsoku w:val="0"/>
        <w:overflowPunct w:val="0"/>
        <w:spacing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</w:p>
    <w:sectPr w:rsidR="00D10289" w:rsidRPr="006E64EE" w:rsidSect="00EC68D1">
      <w:footerReference w:type="default" r:id="rId12"/>
      <w:pgSz w:w="12240" w:h="15840"/>
      <w:pgMar w:top="851" w:right="616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7CF" w:rsidRDefault="00BF17CF" w:rsidP="00256E6E">
      <w:pPr>
        <w:spacing w:after="0" w:line="240" w:lineRule="auto"/>
      </w:pPr>
      <w:r>
        <w:separator/>
      </w:r>
    </w:p>
  </w:endnote>
  <w:endnote w:type="continuationSeparator" w:id="0">
    <w:p w:rsidR="00BF17CF" w:rsidRDefault="00BF17CF" w:rsidP="0025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42797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6E6E" w:rsidRDefault="00256E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6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6E6E" w:rsidRPr="004F6B95" w:rsidRDefault="00256E6E" w:rsidP="004F6B95">
    <w:pPr>
      <w:pStyle w:val="Footer"/>
      <w:spacing w:line="360" w:lineRule="auto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7CF" w:rsidRDefault="00BF17CF" w:rsidP="00256E6E">
      <w:pPr>
        <w:spacing w:after="0" w:line="240" w:lineRule="auto"/>
      </w:pPr>
      <w:r>
        <w:separator/>
      </w:r>
    </w:p>
  </w:footnote>
  <w:footnote w:type="continuationSeparator" w:id="0">
    <w:p w:rsidR="00BF17CF" w:rsidRDefault="00BF17CF" w:rsidP="00256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CCB"/>
    <w:multiLevelType w:val="hybridMultilevel"/>
    <w:tmpl w:val="2AF68F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57602"/>
    <w:multiLevelType w:val="hybridMultilevel"/>
    <w:tmpl w:val="F3D8516A"/>
    <w:lvl w:ilvl="0" w:tplc="A1A6F8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DC90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F4A2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EC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DA0D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927A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635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322C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284A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B924E8"/>
    <w:multiLevelType w:val="hybridMultilevel"/>
    <w:tmpl w:val="46801694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36642"/>
    <w:multiLevelType w:val="hybridMultilevel"/>
    <w:tmpl w:val="612C5106"/>
    <w:lvl w:ilvl="0" w:tplc="794CCF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00" w:themeColor="text1"/>
        <w:sz w:val="32"/>
      </w:rPr>
    </w:lvl>
    <w:lvl w:ilvl="2" w:tplc="618499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746C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586B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529A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C35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CDD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40D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B74D48"/>
    <w:multiLevelType w:val="hybridMultilevel"/>
    <w:tmpl w:val="06DC7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A6C35"/>
    <w:multiLevelType w:val="hybridMultilevel"/>
    <w:tmpl w:val="0EB4592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AC0F7E"/>
    <w:multiLevelType w:val="hybridMultilevel"/>
    <w:tmpl w:val="CBE2405C"/>
    <w:lvl w:ilvl="0" w:tplc="C86089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112C6"/>
    <w:multiLevelType w:val="hybridMultilevel"/>
    <w:tmpl w:val="FE8279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0201D"/>
    <w:multiLevelType w:val="hybridMultilevel"/>
    <w:tmpl w:val="F10011A8"/>
    <w:lvl w:ilvl="0" w:tplc="3A2AF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E7E8F"/>
    <w:multiLevelType w:val="hybridMultilevel"/>
    <w:tmpl w:val="FBFA735E"/>
    <w:lvl w:ilvl="0" w:tplc="53382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C0C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DA7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7A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424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C01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321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20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B6B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8F03E3A"/>
    <w:multiLevelType w:val="hybridMultilevel"/>
    <w:tmpl w:val="7D28F546"/>
    <w:lvl w:ilvl="0" w:tplc="794CCF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527888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  <w:color w:val="000000" w:themeColor="text1"/>
        <w:sz w:val="32"/>
      </w:rPr>
    </w:lvl>
    <w:lvl w:ilvl="2" w:tplc="618499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746C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586B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529A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C35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CDD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40D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B52677"/>
    <w:multiLevelType w:val="hybridMultilevel"/>
    <w:tmpl w:val="9ADEDB4C"/>
    <w:lvl w:ilvl="0" w:tplc="6B147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D62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BE0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827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CCE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961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5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04F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D6E1C0D"/>
    <w:multiLevelType w:val="hybridMultilevel"/>
    <w:tmpl w:val="C2585A5A"/>
    <w:lvl w:ilvl="0" w:tplc="C2A27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2F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2A2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EE2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66E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0C2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8ED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8E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1A2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04924FA"/>
    <w:multiLevelType w:val="hybridMultilevel"/>
    <w:tmpl w:val="8026B546"/>
    <w:lvl w:ilvl="0" w:tplc="CC6E1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303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60F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32E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DAA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DC4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B49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042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909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3E5140E"/>
    <w:multiLevelType w:val="hybridMultilevel"/>
    <w:tmpl w:val="0B76F8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517BF"/>
    <w:multiLevelType w:val="hybridMultilevel"/>
    <w:tmpl w:val="3B7EBF84"/>
    <w:lvl w:ilvl="0" w:tplc="794CCF6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49A362D"/>
    <w:multiLevelType w:val="hybridMultilevel"/>
    <w:tmpl w:val="3ADA2A00"/>
    <w:lvl w:ilvl="0" w:tplc="CA048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846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04B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E6D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22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D07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385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76C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BCA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E090FA3"/>
    <w:multiLevelType w:val="hybridMultilevel"/>
    <w:tmpl w:val="162E53D6"/>
    <w:lvl w:ilvl="0" w:tplc="BDB43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D2C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086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6C1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7E4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063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8AC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DA1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468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664307F"/>
    <w:multiLevelType w:val="hybridMultilevel"/>
    <w:tmpl w:val="6802A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A1A3A"/>
    <w:multiLevelType w:val="hybridMultilevel"/>
    <w:tmpl w:val="AF2EF816"/>
    <w:lvl w:ilvl="0" w:tplc="507648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A71B2C"/>
    <w:multiLevelType w:val="hybridMultilevel"/>
    <w:tmpl w:val="1B98DD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27754"/>
    <w:multiLevelType w:val="hybridMultilevel"/>
    <w:tmpl w:val="39C83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4B2410"/>
    <w:multiLevelType w:val="hybridMultilevel"/>
    <w:tmpl w:val="7F8E06A0"/>
    <w:lvl w:ilvl="0" w:tplc="60ECB8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48EA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C08B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5A2E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4271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20A7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6C8F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F68F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BEC1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0E59FE"/>
    <w:multiLevelType w:val="hybridMultilevel"/>
    <w:tmpl w:val="4896EF1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4D4636"/>
    <w:multiLevelType w:val="hybridMultilevel"/>
    <w:tmpl w:val="B1B88500"/>
    <w:lvl w:ilvl="0" w:tplc="EA985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201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721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007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25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58F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34D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EC9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40B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55A2821"/>
    <w:multiLevelType w:val="hybridMultilevel"/>
    <w:tmpl w:val="62D4EC6A"/>
    <w:lvl w:ilvl="0" w:tplc="35F6A3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B63C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CE34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58A1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7E30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708B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94BE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7241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38D9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E82050"/>
    <w:multiLevelType w:val="hybridMultilevel"/>
    <w:tmpl w:val="821844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00E6F"/>
    <w:multiLevelType w:val="hybridMultilevel"/>
    <w:tmpl w:val="C71027B0"/>
    <w:lvl w:ilvl="0" w:tplc="FF7CD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B65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4AC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D0F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205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581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32E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148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7C9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1C03CA9"/>
    <w:multiLevelType w:val="hybridMultilevel"/>
    <w:tmpl w:val="E5929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892E7B"/>
    <w:multiLevelType w:val="hybridMultilevel"/>
    <w:tmpl w:val="8D3E2FB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9C0449C"/>
    <w:multiLevelType w:val="hybridMultilevel"/>
    <w:tmpl w:val="93661934"/>
    <w:lvl w:ilvl="0" w:tplc="4D46F6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409B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FCA9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C5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46CF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FAA5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F201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7E15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DE48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AD2B4B"/>
    <w:multiLevelType w:val="hybridMultilevel"/>
    <w:tmpl w:val="499C5E08"/>
    <w:lvl w:ilvl="0" w:tplc="B76C4C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30B0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B405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5039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322D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9059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BA5F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4A30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D2DB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C374F8"/>
    <w:multiLevelType w:val="hybridMultilevel"/>
    <w:tmpl w:val="32BCDC52"/>
    <w:lvl w:ilvl="0" w:tplc="D784A0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66E2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400C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71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32BA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CEF3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41D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A2DE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D053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7C2FB7"/>
    <w:multiLevelType w:val="hybridMultilevel"/>
    <w:tmpl w:val="7C22C8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57F6CAF"/>
    <w:multiLevelType w:val="hybridMultilevel"/>
    <w:tmpl w:val="9CF886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5579A2"/>
    <w:multiLevelType w:val="hybridMultilevel"/>
    <w:tmpl w:val="24AC5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AA5112"/>
    <w:multiLevelType w:val="hybridMultilevel"/>
    <w:tmpl w:val="B7CA58D8"/>
    <w:lvl w:ilvl="0" w:tplc="B7D85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CEA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EE8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7EC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D6A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CC2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226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E8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D04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2"/>
  </w:num>
  <w:num w:numId="2">
    <w:abstractNumId w:val="10"/>
  </w:num>
  <w:num w:numId="3">
    <w:abstractNumId w:val="25"/>
  </w:num>
  <w:num w:numId="4">
    <w:abstractNumId w:val="21"/>
  </w:num>
  <w:num w:numId="5">
    <w:abstractNumId w:val="8"/>
  </w:num>
  <w:num w:numId="6">
    <w:abstractNumId w:val="34"/>
  </w:num>
  <w:num w:numId="7">
    <w:abstractNumId w:val="6"/>
  </w:num>
  <w:num w:numId="8">
    <w:abstractNumId w:val="3"/>
  </w:num>
  <w:num w:numId="9">
    <w:abstractNumId w:val="1"/>
  </w:num>
  <w:num w:numId="10">
    <w:abstractNumId w:val="27"/>
  </w:num>
  <w:num w:numId="11">
    <w:abstractNumId w:val="29"/>
  </w:num>
  <w:num w:numId="12">
    <w:abstractNumId w:val="23"/>
  </w:num>
  <w:num w:numId="13">
    <w:abstractNumId w:val="11"/>
  </w:num>
  <w:num w:numId="14">
    <w:abstractNumId w:val="33"/>
  </w:num>
  <w:num w:numId="15">
    <w:abstractNumId w:val="13"/>
  </w:num>
  <w:num w:numId="16">
    <w:abstractNumId w:val="30"/>
  </w:num>
  <w:num w:numId="17">
    <w:abstractNumId w:val="22"/>
  </w:num>
  <w:num w:numId="18">
    <w:abstractNumId w:val="31"/>
  </w:num>
  <w:num w:numId="19">
    <w:abstractNumId w:val="12"/>
  </w:num>
  <w:num w:numId="20">
    <w:abstractNumId w:val="24"/>
  </w:num>
  <w:num w:numId="21">
    <w:abstractNumId w:val="36"/>
  </w:num>
  <w:num w:numId="22">
    <w:abstractNumId w:val="14"/>
  </w:num>
  <w:num w:numId="23">
    <w:abstractNumId w:val="28"/>
  </w:num>
  <w:num w:numId="24">
    <w:abstractNumId w:val="17"/>
  </w:num>
  <w:num w:numId="25">
    <w:abstractNumId w:val="16"/>
  </w:num>
  <w:num w:numId="26">
    <w:abstractNumId w:val="15"/>
  </w:num>
  <w:num w:numId="27">
    <w:abstractNumId w:val="4"/>
  </w:num>
  <w:num w:numId="28">
    <w:abstractNumId w:val="18"/>
  </w:num>
  <w:num w:numId="29">
    <w:abstractNumId w:val="20"/>
  </w:num>
  <w:num w:numId="30">
    <w:abstractNumId w:val="26"/>
  </w:num>
  <w:num w:numId="31">
    <w:abstractNumId w:val="9"/>
  </w:num>
  <w:num w:numId="32">
    <w:abstractNumId w:val="2"/>
  </w:num>
  <w:num w:numId="33">
    <w:abstractNumId w:val="0"/>
  </w:num>
  <w:num w:numId="34">
    <w:abstractNumId w:val="7"/>
  </w:num>
  <w:num w:numId="35">
    <w:abstractNumId w:val="19"/>
  </w:num>
  <w:num w:numId="36">
    <w:abstractNumId w:val="35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DB"/>
    <w:rsid w:val="00001911"/>
    <w:rsid w:val="00036F5E"/>
    <w:rsid w:val="000507DF"/>
    <w:rsid w:val="00092E18"/>
    <w:rsid w:val="000B272B"/>
    <w:rsid w:val="000B76C6"/>
    <w:rsid w:val="000E0A67"/>
    <w:rsid w:val="001210D2"/>
    <w:rsid w:val="001424D6"/>
    <w:rsid w:val="001C16CC"/>
    <w:rsid w:val="001F36D9"/>
    <w:rsid w:val="00204A48"/>
    <w:rsid w:val="00230455"/>
    <w:rsid w:val="00256E6E"/>
    <w:rsid w:val="00287061"/>
    <w:rsid w:val="002930B9"/>
    <w:rsid w:val="00294A17"/>
    <w:rsid w:val="002B0585"/>
    <w:rsid w:val="002D2216"/>
    <w:rsid w:val="002F0FF8"/>
    <w:rsid w:val="00320DC5"/>
    <w:rsid w:val="00400871"/>
    <w:rsid w:val="00454FE8"/>
    <w:rsid w:val="00455A27"/>
    <w:rsid w:val="00476CF2"/>
    <w:rsid w:val="004B69FE"/>
    <w:rsid w:val="004C2673"/>
    <w:rsid w:val="004C2E5D"/>
    <w:rsid w:val="004F6B95"/>
    <w:rsid w:val="00533663"/>
    <w:rsid w:val="0055303D"/>
    <w:rsid w:val="005A6A57"/>
    <w:rsid w:val="00612022"/>
    <w:rsid w:val="006E64EE"/>
    <w:rsid w:val="006F240F"/>
    <w:rsid w:val="006F42E2"/>
    <w:rsid w:val="00772113"/>
    <w:rsid w:val="007D508E"/>
    <w:rsid w:val="0080236F"/>
    <w:rsid w:val="0081167F"/>
    <w:rsid w:val="008B34A9"/>
    <w:rsid w:val="008C5ADF"/>
    <w:rsid w:val="00910AFF"/>
    <w:rsid w:val="00911845"/>
    <w:rsid w:val="00977DA5"/>
    <w:rsid w:val="0099080A"/>
    <w:rsid w:val="00990CA8"/>
    <w:rsid w:val="00992BAF"/>
    <w:rsid w:val="00996CDB"/>
    <w:rsid w:val="009A30E2"/>
    <w:rsid w:val="00A2201C"/>
    <w:rsid w:val="00AA6638"/>
    <w:rsid w:val="00AC0419"/>
    <w:rsid w:val="00B308C1"/>
    <w:rsid w:val="00BF0BC4"/>
    <w:rsid w:val="00BF17CF"/>
    <w:rsid w:val="00C66432"/>
    <w:rsid w:val="00CA5CEA"/>
    <w:rsid w:val="00CE0B22"/>
    <w:rsid w:val="00D02D88"/>
    <w:rsid w:val="00D10289"/>
    <w:rsid w:val="00EC68D1"/>
    <w:rsid w:val="00EC6CE0"/>
    <w:rsid w:val="00ED0CF5"/>
    <w:rsid w:val="00ED1D45"/>
    <w:rsid w:val="00EF05C5"/>
    <w:rsid w:val="00EF3AE7"/>
    <w:rsid w:val="00F62F78"/>
    <w:rsid w:val="00F84DF8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D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64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6E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E6E"/>
  </w:style>
  <w:style w:type="paragraph" w:styleId="Footer">
    <w:name w:val="footer"/>
    <w:basedOn w:val="Normal"/>
    <w:link w:val="FooterChar"/>
    <w:uiPriority w:val="99"/>
    <w:unhideWhenUsed/>
    <w:rsid w:val="00256E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E6E"/>
  </w:style>
  <w:style w:type="character" w:styleId="Hyperlink">
    <w:name w:val="Hyperlink"/>
    <w:rsid w:val="005336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D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64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6E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E6E"/>
  </w:style>
  <w:style w:type="paragraph" w:styleId="Footer">
    <w:name w:val="footer"/>
    <w:basedOn w:val="Normal"/>
    <w:link w:val="FooterChar"/>
    <w:uiPriority w:val="99"/>
    <w:unhideWhenUsed/>
    <w:rsid w:val="00256E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E6E"/>
  </w:style>
  <w:style w:type="character" w:styleId="Hyperlink">
    <w:name w:val="Hyperlink"/>
    <w:rsid w:val="00533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8762">
          <w:marLeft w:val="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1408">
          <w:marLeft w:val="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p.government.bg/web/guest/proceduri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sp.government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9F262-5008-4C17-8264-FA71CDEC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MBorisova</dc:creator>
  <cp:lastModifiedBy>ncsc-user52-5</cp:lastModifiedBy>
  <cp:revision>14</cp:revision>
  <dcterms:created xsi:type="dcterms:W3CDTF">2017-12-03T19:04:00Z</dcterms:created>
  <dcterms:modified xsi:type="dcterms:W3CDTF">2017-12-04T11:17:00Z</dcterms:modified>
</cp:coreProperties>
</file>